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jc w:val="center"/>
      </w:pPr>
      <w:r>
        <w:rPr>
          <w:rFonts w:ascii="Calibri" w:hAnsi="Calibri"/>
          <w:b/>
          <w:color w:val="C75B12"/>
          <w:sz w:val="21"/>
        </w:rPr>
        <w:t>工程调试指南</w:t>
      </w:r>
    </w:p>
    <w:p>
      <w:pPr>
        <w:spacing w:after="180"/>
        <w:jc w:val="center"/>
      </w:pPr>
      <w:r>
        <w:rPr>
          <w:rFonts w:ascii="Calibri" w:hAnsi="Calibri"/>
          <w:b/>
          <w:color w:val="0B2545"/>
          <w:sz w:val="56"/>
        </w:rPr>
        <w:t>工厂系统集成和ModbusLogic测试</w:t>
        <w:br/>
        <w:t/>
      </w:r>
    </w:p>
    <w:p>
      <w:pPr>
        <w:spacing w:after="640"/>
        <w:jc w:val="center"/>
      </w:pPr>
      <w:r>
        <w:rPr>
          <w:rFonts w:ascii="Calibri" w:hAnsi="Calibri"/>
          <w:color w:val="1F4D78"/>
          <w:sz w:val="27"/>
        </w:rPr>
        <w:t>架构、工作流程顺序、I/O 分配、激活安全、Control Quality Monitor、迁移和三套参考机组</w:t>
      </w:r>
    </w:p>
    <w:p>
      <w:pPr>
        <w:spacing w:after="1000"/>
        <w:jc w:val="center"/>
      </w:pPr>
      <w:r>
        <w:rPr>
          <w:rFonts w:ascii="Calibri" w:hAnsi="Calibri"/>
          <w:b/>
          <w:color w:val="5F6B78"/>
          <w:sz w:val="20"/>
        </w:rPr>
        <w:t>第 7 阶段最终版  |  2026 年 7 月  |  架构 8</w:t>
      </w:r>
    </w:p>
    <w:p>
      <w:pPr>
        <w:spacing w:before="100" w:after="160" w:line="283" w:lineRule="auto"/>
        <w:ind w:left="173" w:right="115"/>
        <w:pBdr>
          <w:left w:val="single" w:sz="20" w:space="8" w:color="2E74B5"/>
        </w:pBdr>
        <w:shd w:fill="EEF4FA" w:val="clear"/>
      </w:pPr>
      <w:r>
        <w:rPr>
          <w:rFonts w:ascii="Calibri" w:hAnsi="Calibri"/>
          <w:b/>
          <w:color w:val="2E74B5"/>
        </w:rPr>
        <w:t xml:space="preserve">目的  </w:t>
      </w:r>
      <w:r>
        <w:rPr>
          <w:rFonts w:ascii="Calibri" w:hAnsi="Calibri"/>
        </w:rPr>
        <w:t>按顺序使用本指南。首先定义实时系统，使用配置工厂撰写草稿，编译和审查确切的不可变计划，显式激活它，开始通信，运行受控测试，并保存可移植的支持证据。</w:t>
      </w:r>
    </w:p>
    <w:p>
      <w:pPr>
        <w:spacing w:before="600"/>
        <w:jc w:val="center"/>
      </w:pPr>
      <w:r>
        <w:rPr>
          <w:rFonts w:ascii="Calibri" w:hAnsi="Calibri"/>
          <w:i/>
          <w:color w:val="5F6B78"/>
          <w:sz w:val="19"/>
        </w:rPr>
        <w:t>用于模拟器准备、控制器集成、工厂验收、现场支持和迁移审核</w:t>
      </w:r>
    </w:p>
    <w:p>
      <w:pPr>
        <w:pageBreakBefore/>
        <w:pStyle w:val="Heading1"/>
      </w:pPr>
      <w:r>
        <w:t>1. 架构和工作流程顺序</w:t>
      </w:r>
    </w:p>
    <w:p>
      <w:pPr>
        <w:keepNext/>
        <w:spacing w:after="160"/>
      </w:pPr>
      <w:r>
        <w:rPr>
          <w:rFonts w:ascii="Calibri" w:hAnsi="Calibri"/>
          <w:i/>
          <w:color w:val="0B2545"/>
          <w:sz w:val="22"/>
        </w:rPr>
        <w:t>一个可移植工厂项目拥有一种拓扑、一种组合信号程序、一种编译运行计划、一组物理绑定和一种监视器定义。</w:t>
      </w:r>
    </w:p>
    <w:p>
      <w:pPr>
        <w:spacing w:before="100" w:after="160" w:line="283" w:lineRule="auto"/>
        <w:ind w:left="173" w:right="115"/>
        <w:pBdr>
          <w:left w:val="single" w:sz="20" w:space="8" w:color="6A3FA0"/>
        </w:pBdr>
        <w:shd w:fill="F5F1FA" w:val="clear"/>
      </w:pPr>
      <w:r>
        <w:rPr>
          <w:rFonts w:ascii="Calibri" w:hAnsi="Calibri"/>
          <w:b/>
          <w:color w:val="6A3FA0"/>
        </w:rPr>
        <w:t xml:space="preserve">建筑用一句话来形容  </w:t>
      </w:r>
      <w:r>
        <w:rPr>
          <w:rFonts w:ascii="Calibri" w:hAnsi="Calibri"/>
        </w:rPr>
        <w:t>Live System 定义存在哪些设备；配置工厂分配其工程关系和逻辑 I/O 角色；作曲家创建草稿模块图；编译创建一个不可变的候选者； Review/Activate是唯一可以替代运行计划的边界；然后，工厂测试和控制质量监视器质疑并衡量该活动计划。</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500"/>
        <w:gridCol w:w="1900"/>
        <w:gridCol w:w="5960"/>
      </w:tblGrid>
      <w:tr>
        <w:trPr>
          <w:trHeight w:hRule="atLeast"/>
          <w:tblHeader w:val="true"/>
          <w:cantSplit/>
        </w:trPr>
        <w:tc>
          <w:tcPr>
            <w:tcW w:type="dxa" w:w="15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图层</w:t>
            </w:r>
          </w:p>
        </w:tc>
        <w:tc>
          <w:tcPr>
            <w:tcW w:type="dxa" w:w="1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权威</w:t>
            </w:r>
          </w:p>
        </w:tc>
        <w:tc>
          <w:tcPr>
            <w:tcW w:type="dxa" w:w="5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它拥有什么</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直播系统</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设备配置</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I/O 模块实例、压缩机数量、稳定设备 ID、型号、制冷剂、行为源、连接和单元 ID。</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便携式项目</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.modbussim</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拓扑、物理绑定、组合工厂程序、兼容图表、监控范围、端点选择、所有权和安全元数据。</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逻辑视图</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工厂程序导航</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工厂概览以及水系统、警报输出、电路、每个压缩机节能器和协议适配器。</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编译器</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当前可编辑草稿</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验证、命名空间扁平化、逻辑和物理输出所有权、确定性顺序、修订和运行时签名。</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活动运行时间</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审查已编制的计划</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一个不可变的可执行映像。草稿编辑、保存和迁移不会改变它。</w:t>
            </w:r>
          </w:p>
        </w:tc>
      </w:tr>
      <w:tr>
        <w:trPr>
          <w:trHeight w:hRule="atLeast"/>
          <w:cantSplit/>
        </w:trPr>
        <w:tc>
          <w:tcPr>
            <w:tcW w:type="dxa" w:w="1500"/>
            <w:tcMar>
              <w:top w:w="80" w:type="dxa"/>
              <w:bottom w:w="80" w:type="dxa"/>
              <w:start w:w="120" w:type="dxa"/>
              <w:end w:w="120" w:type="dxa"/>
            </w:tcMar>
            <w:vAlign w:val="center"/>
          </w:tcPr>
          <w:p>
            <w:pPr>
              <w:spacing w:before="0" w:after="0" w:line="259" w:lineRule="auto"/>
              <w:jc w:val="left"/>
            </w:pPr>
            <w:r>
              <w:rPr>
                <w:rFonts w:ascii="Calibri" w:hAnsi="Calibri"/>
                <w:sz w:val="17"/>
              </w:rPr>
              <w:t>工厂测试/监控</w:t>
            </w:r>
          </w:p>
        </w:tc>
        <w:tc>
          <w:tcPr>
            <w:tcW w:type="dxa" w:w="1900"/>
            <w:tcMar>
              <w:top w:w="80" w:type="dxa"/>
              <w:bottom w:w="80" w:type="dxa"/>
              <w:start w:w="120" w:type="dxa"/>
              <w:end w:w="120" w:type="dxa"/>
            </w:tcMar>
            <w:vAlign w:val="center"/>
          </w:tcPr>
          <w:p>
            <w:pPr>
              <w:spacing w:before="0" w:after="0" w:line="259" w:lineRule="auto"/>
              <w:jc w:val="left"/>
            </w:pPr>
            <w:r>
              <w:rPr>
                <w:rFonts w:ascii="Calibri" w:hAnsi="Calibri"/>
                <w:sz w:val="17"/>
              </w:rPr>
              <w:t>.modbustest及监视器定义</w:t>
            </w:r>
          </w:p>
        </w:tc>
        <w:tc>
          <w:tcPr>
            <w:tcW w:type="dxa" w:w="5960"/>
            <w:tcMar>
              <w:top w:w="80" w:type="dxa"/>
              <w:bottom w:w="80" w:type="dxa"/>
              <w:start w:w="120" w:type="dxa"/>
              <w:end w:w="120" w:type="dxa"/>
            </w:tcMar>
            <w:vAlign w:val="center"/>
          </w:tcPr>
          <w:p>
            <w:pPr>
              <w:spacing w:before="0" w:after="0" w:line="259" w:lineRule="auto"/>
              <w:jc w:val="left"/>
            </w:pPr>
            <w:r>
              <w:rPr>
                <w:rFonts w:ascii="Calibri" w:hAnsi="Calibri"/>
                <w:sz w:val="17"/>
              </w:rPr>
              <w:t>刺激、阶段、标准、证据、标准化趋势、质量转变和时间指标。</w:t>
            </w:r>
          </w:p>
        </w:tc>
      </w:tr>
    </w:tbl>
    <w:p>
      <w:pPr>
        <w:spacing w:after="20"/>
      </w:pPr>
    </w:p>
    <w:p>
      <w:pPr>
        <w:pStyle w:val="Heading2"/>
      </w:pPr>
      <w:r>
        <w:t>所需的调试顺序</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800"/>
        <w:gridCol w:w="8560"/>
      </w:tblGrid>
      <w:tr>
        <w:trPr>
          <w:trHeight w:hRule="atLeast"/>
          <w:tblHeader w:val="true"/>
          <w:cantSplit/>
        </w:trPr>
        <w:tc>
          <w:tcPr>
            <w:tcW w:type="dxa" w:w="8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步骤</w:t>
            </w:r>
          </w:p>
        </w:tc>
        <w:tc>
          <w:tcPr>
            <w:tcW w:type="dxa" w:w="85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调试动作</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保持外部控制器通信停止。在 Live System 中，创建每个所需的 I/O 模块实例和压缩器；设置唯一的连接和单元 ID。</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设置压缩机数量、型号、制冷剂和行为模式。相同的压缩器应该解决相同的选定模型行为策略。</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确认物理 I/O 可用性并预留通道。不要将相同的可写物理点分配给两个逻辑输出。</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4</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仅在实时系统清单正确后，打开系统集成 &gt; 信号逻辑并启动配置工厂。</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5</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选择回路，将每台压缩机分配给一个回路，安装回路节能器 A/B 类型，并配置水确认、警报、I/O 角色和协议适配器。</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6</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对于热交换器节能器，打开每个压缩机部分并分配独特的步进器、可选电磁阀、压力、温度、过热度和可选延迟验证点。</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7</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选择应用拓扑。这仅重新生成可编辑草稿。检查工厂概览和每个详细的模块画布。</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8</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在自定义图形编辑之前分离向导管理的模块，该模块必须在下一次拓扑重新生成时继续存在。保存草稿检查点。</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9</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选择编译。解决每个错误并检查编译的修订版、图形指纹、输出所有权和诊断。</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10</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选择查看/激活。包裹被重新验证；只有经过审查的当前修订版才能自动替换活动计划。</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11</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选择运行。当设置更改时启动或重新启动模拟器 I/O 和压缩机 Modbus 端点，然后允许外部控制器/客户端连接。</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12</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验证点质量和方向，执行手动验证测试，加载并验证匹配的 .modbustest 计划，然后运行受控测试。</w:t>
            </w:r>
          </w:p>
        </w:tc>
      </w:tr>
      <w:tr>
        <w:trPr>
          <w:trHeight w:hRule="atLeast"/>
          <w:cantSplit/>
        </w:trPr>
        <w:tc>
          <w:tcPr>
            <w:tcW w:type="dxa" w:w="800"/>
            <w:tcMar>
              <w:top w:w="80" w:type="dxa"/>
              <w:bottom w:w="80" w:type="dxa"/>
              <w:start w:w="120" w:type="dxa"/>
              <w:end w:w="120" w:type="dxa"/>
            </w:tcMar>
            <w:vAlign w:val="center"/>
          </w:tcPr>
          <w:p>
            <w:pPr>
              <w:spacing w:before="0" w:after="0" w:line="259" w:lineRule="auto"/>
              <w:jc w:val="left"/>
            </w:pPr>
            <w:r>
              <w:rPr>
                <w:rFonts w:ascii="Calibri" w:hAnsi="Calibri"/>
                <w:sz w:val="17"/>
              </w:rPr>
              <w:t>13</w:t>
            </w:r>
          </w:p>
        </w:tc>
        <w:tc>
          <w:tcPr>
            <w:tcW w:type="dxa" w:w="8560"/>
            <w:tcMar>
              <w:top w:w="80" w:type="dxa"/>
              <w:bottom w:w="80" w:type="dxa"/>
              <w:start w:w="120" w:type="dxa"/>
              <w:end w:w="120" w:type="dxa"/>
            </w:tcMar>
            <w:vAlign w:val="center"/>
          </w:tcPr>
          <w:p>
            <w:pPr>
              <w:spacing w:before="0" w:after="0" w:line="259" w:lineRule="auto"/>
              <w:jc w:val="left"/>
            </w:pPr>
            <w:r>
              <w:rPr>
                <w:rFonts w:ascii="Calibri" w:hAnsi="Calibri"/>
                <w:sz w:val="17"/>
              </w:rPr>
              <w:t>审查信号逻辑、控制质量监视器、验收结果和证据。保存最终的.modbussim并组装支持包。</w:t>
            </w:r>
          </w:p>
        </w:tc>
      </w:tr>
    </w:tbl>
    <w:p>
      <w:pPr>
        <w:spacing w:after="20"/>
      </w:pPr>
    </w:p>
    <w:p>
      <w:pPr>
        <w:spacing w:before="100" w:after="160" w:line="283" w:lineRule="auto"/>
        <w:ind w:left="173" w:right="115"/>
        <w:pBdr>
          <w:left w:val="single" w:sz="20" w:space="8" w:color="9B1C1C"/>
        </w:pBdr>
        <w:shd w:fill="FFF3F3" w:val="clear"/>
      </w:pPr>
      <w:r>
        <w:rPr>
          <w:rFonts w:ascii="Calibri" w:hAnsi="Calibri"/>
          <w:b/>
          <w:color w:val="9B1C1C"/>
        </w:rPr>
        <w:t xml:space="preserve">重要订单规则  </w:t>
      </w:r>
      <w:r>
        <w:rPr>
          <w:rFonts w:ascii="Calibri" w:hAnsi="Calibri"/>
        </w:rPr>
        <w:t>配置向导不需要实时 Modbus 通信。它需要正确的 Live System 库存。离线配置、编译；在预期计划生效且端点/Unit-ID 冲突已消除后开始通信。</w:t>
      </w:r>
    </w:p>
    <w:p>
      <w:pPr>
        <w:keepNext/>
        <w:spacing w:before="80" w:after="0"/>
        <w:jc w:val="center"/>
      </w:pPr>
      <w:r>
        <w:drawing>
          <wp:inline xmlns:a="http://schemas.openxmlformats.org/drawingml/2006/main" xmlns:pic="http://schemas.openxmlformats.org/drawingml/2006/picture">
            <wp:extent cx="5806440" cy="3556444"/>
            <wp:docPr id="1" name="Picture 1" descr="Dark-theme Signal Logic workspace with portable project controls, lifecycle controls, Logic View, live graph, trace panel, and inspector."/>
            <wp:cNvGraphicFramePr>
              <a:graphicFrameLocks noChangeAspect="1"/>
            </wp:cNvGraphicFramePr>
            <a:graphic>
              <a:graphicData uri="http://schemas.openxmlformats.org/drawingml/2006/picture">
                <pic:pic>
                  <pic:nvPicPr>
                    <pic:cNvPr id="0" name="SystemIntegrationProjectPackageValidation_20260723_Phase7_SignalLogic.png"/>
                    <pic:cNvPicPr/>
                  </pic:nvPicPr>
                  <pic:blipFill>
                    <a:blip r:embed="rId13"/>
                    <a:stretch>
                      <a:fillRect/>
                    </a:stretch>
                  </pic:blipFill>
                  <pic:spPr>
                    <a:xfrm>
                      <a:off x="0" y="0"/>
                      <a:ext cx="5806440" cy="3556444"/>
                    </a:xfrm>
                    <a:prstGeom prst="rect"/>
                  </pic:spPr>
                </pic:pic>
              </a:graphicData>
            </a:graphic>
          </wp:inline>
        </w:drawing>
      </w:r>
    </w:p>
    <w:p>
      <w:pPr>
        <w:pStyle w:val="GuideCaption"/>
        <w:keepNext w:val="0"/>
      </w:pPr>
      <w:r>
        <w:t>图 1. Signal Logic 展示了一个工厂程序。逻辑视图打开概览或已配置的模块；它不选择竞争的工厂计划。</w:t>
      </w:r>
    </w:p>
    <w:p>
      <w:pPr>
        <w:pStyle w:val="Heading1"/>
      </w:pPr>
      <w:r>
        <w:t>2. 在配置工厂之前准备实时系统</w:t>
      </w:r>
    </w:p>
    <w:p>
      <w:pPr>
        <w:keepNext/>
        <w:spacing w:after="160"/>
      </w:pPr>
      <w:r>
        <w:rPr>
          <w:rFonts w:ascii="Calibri" w:hAnsi="Calibri"/>
          <w:i/>
          <w:color w:val="0B2545"/>
          <w:sz w:val="22"/>
        </w:rPr>
        <w:t>配置工厂从实时系统读取设备标识。首先纠正源头库存；请勿仅在工厂向导内修复设备标识。</w:t>
      </w:r>
    </w:p>
    <w:p>
      <w:pPr>
        <w:pStyle w:val="Heading2"/>
      </w:pPr>
      <w:r>
        <w:t>输入/输出模块</w:t>
      </w:r>
    </w:p>
    <w:p>
      <w:pPr>
        <w:numPr>
          <w:ilvl w:val="0"/>
          <w:numId w:val="10"/>
        </w:numPr>
      </w:pPr>
      <w:r>
        <w:rPr>
          <w:rFonts w:ascii="Calibri" w:hAnsi="Calibri"/>
        </w:rPr>
        <w:t>创建物理通道数所需的每个 I/O 模块实例。 Phase 7支持跨多个实例的逻辑角色分配。</w:t>
      </w:r>
    </w:p>
    <w:p>
      <w:pPr>
        <w:numPr>
          <w:ilvl w:val="0"/>
          <w:numId w:val="10"/>
        </w:numPr>
      </w:pPr>
      <w:r>
        <w:rPr>
          <w:rFonts w:ascii="Calibri" w:hAnsi="Calibri"/>
        </w:rPr>
        <w:t>选择正确的 I/O 模块类型和稳定的设备名称。为共享 Modbus 连接上的每个模块保留唯一的单元 ID。</w:t>
      </w:r>
    </w:p>
    <w:p>
      <w:pPr>
        <w:numPr>
          <w:ilvl w:val="0"/>
          <w:numId w:val="10"/>
        </w:numPr>
      </w:pPr>
      <w:r>
        <w:rPr>
          <w:rFonts w:ascii="Calibri" w:hAnsi="Calibri"/>
        </w:rPr>
        <w:t>记录 TCP 主机/端口或串行设置，但保持外部控制器断开连接，直到检查完整的端点映射。</w:t>
      </w:r>
    </w:p>
    <w:p>
      <w:pPr>
        <w:numPr>
          <w:ilvl w:val="0"/>
          <w:numId w:val="10"/>
        </w:numPr>
      </w:pPr>
      <w:r>
        <w:rPr>
          <w:rFonts w:ascii="Calibri" w:hAnsi="Calibri"/>
        </w:rPr>
        <w:t>确认每个所需的点都存在：图表消耗的控制器命令 DO/AO 点和图表发布的模拟现场 DI/AI/TI 点。</w:t>
      </w:r>
    </w:p>
    <w:p>
      <w:pPr>
        <w:pStyle w:val="Heading2"/>
      </w:pPr>
      <w:r>
        <w:t>压缩机</w:t>
      </w:r>
    </w:p>
    <w:p>
      <w:pPr>
        <w:numPr>
          <w:ilvl w:val="0"/>
          <w:numId w:val="10"/>
        </w:numPr>
      </w:pPr>
      <w:r>
        <w:rPr>
          <w:rFonts w:ascii="Calibri" w:hAnsi="Calibri"/>
        </w:rPr>
        <w:t>首先设置压缩机的数量（1 到 8 个）。配置工厂使用此精确计数。</w:t>
      </w:r>
    </w:p>
    <w:p>
      <w:pPr>
        <w:numPr>
          <w:ilvl w:val="0"/>
          <w:numId w:val="10"/>
        </w:numPr>
      </w:pPr>
      <w:r>
        <w:rPr>
          <w:rFonts w:ascii="Calibri" w:hAnsi="Calibri"/>
        </w:rPr>
        <w:t>对于每个压缩机组型号、制冷剂、稳定标识、连接、单元 ID 和行为源模式。</w:t>
      </w:r>
    </w:p>
    <w:p>
      <w:pPr>
        <w:numPr>
          <w:ilvl w:val="0"/>
          <w:numId w:val="10"/>
        </w:numPr>
      </w:pPr>
      <w:r>
        <w:rPr>
          <w:rFonts w:ascii="Calibri" w:hAnsi="Calibri"/>
        </w:rPr>
        <w:t>当多台压缩机具有相同的型号、制冷剂、系列和变体时，所选型号行为对于所有压缩机的解析结果应相同。全局回退行指示源设置或行为表仍然不同。</w:t>
      </w:r>
    </w:p>
    <w:p>
      <w:pPr>
        <w:numPr>
          <w:ilvl w:val="0"/>
          <w:numId w:val="10"/>
        </w:numPr>
      </w:pPr>
      <w:r>
        <w:rPr>
          <w:rFonts w:ascii="Calibri" w:hAnsi="Calibri"/>
        </w:rPr>
        <w:t>压缩机到电路的分配是一种工厂关系，稍后在“配置工厂”中设置；压缩器标识是 Live System 设置。</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100"/>
        <w:gridCol w:w="3400"/>
        <w:gridCol w:w="3860"/>
      </w:tblGrid>
      <w:tr>
        <w:trPr>
          <w:trHeight w:hRule="atLeast"/>
          <w:tblHeader w:val="true"/>
          <w:cantSplit/>
        </w:trPr>
        <w:tc>
          <w:tcPr>
            <w:tcW w:type="dxa" w:w="2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检查站</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就绪状态</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如果还没有准备好</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设备库存</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正确的 I/O 计数和压缩器计数。</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返回实时系统；不要打开已知过时计数的向导。</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身份</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型号、制冷剂、行为模式、连接和单元 ID 是明确的。</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更正源行并使用“从实时系统同步”。</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端点唯一性</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没有重复的 TCP 监听端点或串行所有权；每辆总线的单元 ID 都是唯一的。</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停止通讯并修正地图。</w:t>
            </w:r>
          </w:p>
        </w:tc>
      </w:tr>
      <w:tr>
        <w:trPr>
          <w:trHeight w:hRule="atLeast"/>
          <w:cantSplit/>
        </w:trPr>
        <w:tc>
          <w:tcPr>
            <w:tcW w:type="dxa" w:w="2100"/>
            <w:tcMar>
              <w:top w:w="80" w:type="dxa"/>
              <w:bottom w:w="80" w:type="dxa"/>
              <w:start w:w="120" w:type="dxa"/>
              <w:end w:w="120" w:type="dxa"/>
            </w:tcMar>
            <w:vAlign w:val="center"/>
          </w:tcPr>
          <w:p>
            <w:pPr>
              <w:spacing w:before="0" w:after="0" w:line="259" w:lineRule="auto"/>
              <w:jc w:val="left"/>
            </w:pPr>
            <w:r>
              <w:rPr>
                <w:rFonts w:ascii="Calibri" w:hAnsi="Calibri"/>
                <w:sz w:val="17"/>
              </w:rPr>
              <w:t>体力</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存在足够的兼容 DI/DO/AI/AO/TI 通道来满足预期角色。</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7"/>
              </w:rPr>
              <w:t>添加另一个 I/O 模块或禁用可选出版物。</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2" name="Picture 2" descr="Dark-theme Physical Integration workspace showing Modbus device and I/O point configuration."/>
            <wp:cNvGraphicFramePr>
              <a:graphicFrameLocks noChangeAspect="1"/>
            </wp:cNvGraphicFramePr>
            <a:graphic>
              <a:graphicData uri="http://schemas.openxmlformats.org/drawingml/2006/picture">
                <pic:pic>
                  <pic:nvPicPr>
                    <pic:cNvPr id="0" name="SystemIntegrationReleaseValidation_20260716_Physical_Dark.png"/>
                    <pic:cNvPicPr/>
                  </pic:nvPicPr>
                  <pic:blipFill>
                    <a:blip r:embed="rId14"/>
                    <a:stretch>
                      <a:fillRect/>
                    </a:stretch>
                  </pic:blipFill>
                  <pic:spPr>
                    <a:xfrm>
                      <a:off x="0" y="0"/>
                      <a:ext cx="5806440" cy="3556444"/>
                    </a:xfrm>
                    <a:prstGeom prst="rect"/>
                  </pic:spPr>
                </pic:pic>
              </a:graphicData>
            </a:graphic>
          </wp:inline>
        </w:drawing>
      </w:r>
    </w:p>
    <w:p>
      <w:pPr>
        <w:pStyle w:val="GuideCaption"/>
        <w:keepNext w:val="0"/>
      </w:pPr>
      <w:r>
        <w:t>图 2. 物理集成公开了指定逻辑角色使用的设备和点基础。</w:t>
      </w:r>
    </w:p>
    <w:p>
      <w:pPr>
        <w:pStyle w:val="Heading1"/>
      </w:pPr>
      <w:r>
        <w:t>3. 配置工厂和逻辑视图</w:t>
      </w:r>
    </w:p>
    <w:p>
      <w:pPr>
        <w:keepNext/>
        <w:spacing w:after="160"/>
      </w:pPr>
      <w:r>
        <w:rPr>
          <w:rFonts w:ascii="Calibri" w:hAnsi="Calibri"/>
          <w:i/>
          <w:color w:val="0B2545"/>
          <w:sz w:val="22"/>
        </w:rPr>
        <w:t>该向导由重复的压缩机、电路、水、警报、节能器和协议适配器模块组成一个工厂程序。</w:t>
      </w:r>
    </w:p>
    <w:p>
      <w:pPr>
        <w:pStyle w:val="Heading2"/>
      </w:pPr>
      <w:r>
        <w:t>向导何时可以启动</w:t>
      </w:r>
    </w:p>
    <w:p>
      <w:r>
        <w:rPr>
          <w:rFonts w:ascii="Calibri" w:hAnsi="Calibri"/>
        </w:rPr>
        <w:t>在实时系统源显示预期的压缩机数量和标识以及 I/O 模块实例存在后，开始配置工厂。通讯可能会保持停止状态。每当打开向导后源清单发生更改时，请选择从 Live System 同步。</w:t>
      </w:r>
    </w:p>
    <w:p>
      <w:pPr>
        <w:pStyle w:val="Heading2"/>
      </w:pPr>
      <w:r>
        <w:t>拓扑决策</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决定</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规则</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电路</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选择一到八。将每台压缩机分配给一个回路。</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省煤器槽位</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每个电路可以安装 A、B、两者或都不安装。压缩机只能分配给其电路中已安装的插槽。</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闪蒸罐</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共享电路设备。一种容器模型使用分配给该回路/槽的压缩机的总质量流量。</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热交换器</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每台压缩机设备。电路 A/B 确定节能器类型和默认工程值；每个分配的压缩机接收其自己的实例、质量流量、I/O 和控制。</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用水确认</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独立于泵启用。选择禁用、数字开关、模拟流或组合证明。</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泵启用</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可选。仅当模拟 I/O 必须接收外部控制器的泵命令时才启用它。</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报警输出</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具有明确输出所有权的可选聚合输出。</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协议适配器</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可选的只读原始寄存器/位解码成稳定的逻辑输入角色。高级原始输出写入保留在向导之外。</w:t>
            </w:r>
          </w:p>
        </w:tc>
      </w:tr>
    </w:tbl>
    <w:p>
      <w:pPr>
        <w:spacing w:after="20"/>
      </w:pPr>
    </w:p>
    <w:p>
      <w:pPr>
        <w:keepNext/>
        <w:spacing w:before="80" w:after="0"/>
        <w:jc w:val="center"/>
      </w:pPr>
      <w:r>
        <w:drawing>
          <wp:inline xmlns:a="http://schemas.openxmlformats.org/drawingml/2006/main" xmlns:pic="http://schemas.openxmlformats.org/drawingml/2006/picture">
            <wp:extent cx="5806440" cy="3556444"/>
            <wp:docPr id="3" name="Picture 3" descr="Dark-theme plant configuration wizard showing Live System compressor assignments, circuit economizers, Water Confirmation, and Apply topology."/>
            <wp:cNvGraphicFramePr>
              <a:graphicFrameLocks noChangeAspect="1"/>
            </wp:cNvGraphicFramePr>
            <a:graphic>
              <a:graphicData uri="http://schemas.openxmlformats.org/drawingml/2006/picture">
                <pic:pic>
                  <pic:nvPicPr>
                    <pic:cNvPr id="0" name="SystemIntegrationProjectPackageValidation_20260723_Phase7_PlantConfiguration.png"/>
                    <pic:cNvPicPr/>
                  </pic:nvPicPr>
                  <pic:blipFill>
                    <a:blip r:embed="rId15"/>
                    <a:stretch>
                      <a:fillRect/>
                    </a:stretch>
                  </pic:blipFill>
                  <pic:spPr>
                    <a:xfrm>
                      <a:off x="0" y="0"/>
                      <a:ext cx="5806440" cy="3556444"/>
                    </a:xfrm>
                    <a:prstGeom prst="rect"/>
                  </pic:spPr>
                </pic:pic>
              </a:graphicData>
            </a:graphic>
          </wp:inline>
        </w:drawing>
      </w:r>
    </w:p>
    <w:p>
      <w:pPr>
        <w:pStyle w:val="GuideCaption"/>
        <w:keepNext w:val="0"/>
      </w:pPr>
      <w:r>
        <w:t>图 3. 配置工厂从 Live System 中预加载，然后添加电路、节能器和逻辑分配。</w:t>
      </w:r>
    </w:p>
    <w:p>
      <w:pPr>
        <w:pStyle w:val="Heading2"/>
      </w:pPr>
      <w:r>
        <w:t>逻辑视图导航</w:t>
      </w:r>
    </w:p>
    <w:p>
      <w:pPr>
        <w:numPr>
          <w:ilvl w:val="0"/>
          <w:numId w:val="10"/>
        </w:numPr>
      </w:pPr>
      <w:r>
        <w:rPr>
          <w:rFonts w:ascii="Calibri" w:hAnsi="Calibri"/>
        </w:rPr>
        <w:t>工厂概览显示了组成的系统和跨模块连接。</w:t>
      </w:r>
    </w:p>
    <w:p>
      <w:pPr>
        <w:numPr>
          <w:ilvl w:val="0"/>
          <w:numId w:val="10"/>
        </w:numPr>
      </w:pPr>
      <w:r>
        <w:rPr>
          <w:rFonts w:ascii="Calibri" w:hAnsi="Calibri"/>
        </w:rPr>
        <w:t>水系统包含常见的水循环和水确认模块。</w:t>
      </w:r>
    </w:p>
    <w:p>
      <w:pPr>
        <w:numPr>
          <w:ilvl w:val="0"/>
          <w:numId w:val="10"/>
        </w:numPr>
      </w:pPr>
      <w:r>
        <w:rPr>
          <w:rFonts w:ascii="Calibri" w:hAnsi="Calibri"/>
        </w:rPr>
        <w:t>电路仅列出已配置的电路和已安装的节能器。</w:t>
      </w:r>
    </w:p>
    <w:p>
      <w:pPr>
        <w:numPr>
          <w:ilvl w:val="0"/>
          <w:numId w:val="10"/>
        </w:numPr>
      </w:pPr>
      <w:r>
        <w:rPr>
          <w:rFonts w:ascii="Calibri" w:hAnsi="Calibri"/>
        </w:rPr>
        <w:t>闪光罐在其电路槽下方出现一次。对于每个分配的压缩机，热交换器节能器都会出现一次，例如 C2 - 热交换器 1A。</w:t>
      </w:r>
    </w:p>
    <w:p>
      <w:pPr>
        <w:numPr>
          <w:ilvl w:val="0"/>
          <w:numId w:val="10"/>
        </w:numPr>
      </w:pPr>
      <w:r>
        <w:rPr>
          <w:rFonts w:ascii="Calibri" w:hAnsi="Calibri"/>
        </w:rPr>
        <w:t>协议适配器在下游逻辑角色使用该值之前显示原始输入解码。</w:t>
      </w:r>
    </w:p>
    <w:p>
      <w:pPr>
        <w:pStyle w:val="Heading1"/>
      </w:pPr>
      <w:r>
        <w:t>4. 将物理 I/O 分配给逻辑设备值</w:t>
      </w:r>
    </w:p>
    <w:p>
      <w:pPr>
        <w:keepNext/>
        <w:spacing w:after="160"/>
      </w:pPr>
      <w:r>
        <w:rPr>
          <w:rFonts w:ascii="Calibri" w:hAnsi="Calibri"/>
          <w:i/>
          <w:color w:val="0B2545"/>
          <w:sz w:val="22"/>
        </w:rPr>
        <w:t>逻辑角色描述了工程意义。物理点提供或接收原始 Modbus 值。该绑定使工厂逻辑独立于所选通道和 I/O 模块实例。</w:t>
      </w:r>
    </w:p>
    <w:p>
      <w:pPr>
        <w:spacing w:before="100" w:after="160" w:line="283" w:lineRule="auto"/>
        <w:ind w:left="173" w:right="115"/>
        <w:pBdr>
          <w:left w:val="single" w:sz="20" w:space="8" w:color="6A3FA0"/>
        </w:pBdr>
        <w:shd w:fill="F5F1FA" w:val="clear"/>
      </w:pPr>
      <w:r>
        <w:rPr>
          <w:rFonts w:ascii="Calibri" w:hAnsi="Calibri"/>
          <w:b/>
          <w:color w:val="6A3FA0"/>
        </w:rPr>
        <w:t xml:space="preserve">方向是从 I/O 模块的角度来看的  </w:t>
      </w:r>
      <w:r>
        <w:rPr>
          <w:rFonts w:ascii="Calibri" w:hAnsi="Calibri"/>
        </w:rPr>
        <w:t>DO 或 AO 通常由外部控制器写入，并由积分图作为输入读取。 DI、AI 或 TI 通常由积分图写入，以模拟外部控制器的场反馈。</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350"/>
        <w:gridCol w:w="1750"/>
        <w:gridCol w:w="3010"/>
        <w:gridCol w:w="2250"/>
      </w:tblGrid>
      <w:tr>
        <w:trPr>
          <w:trHeight w:hRule="atLeast"/>
          <w:tblHeader w:val="true"/>
          <w:cantSplit/>
        </w:trPr>
        <w:tc>
          <w:tcPr>
            <w:tcW w:type="dxa" w:w="2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逻辑值</w:t>
            </w:r>
          </w:p>
        </w:tc>
        <w:tc>
          <w:tcPr>
            <w:tcW w:type="dxa" w:w="17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典型物理点</w:t>
            </w:r>
          </w:p>
        </w:tc>
        <w:tc>
          <w:tcPr>
            <w:tcW w:type="dxa" w:w="3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图形方向</w:t>
            </w:r>
          </w:p>
        </w:tc>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示例</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工厂启用请求</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工厂测试/操作员 -&gt; 模拟 I/O -&gt; 图形输入</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Plant.EnableRequest -&gt; 模块 1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泵命令</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溶解氧</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外部控制器 -&gt; 模拟 I/O -&gt; 图形输入</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Water.PumpCommand -&gt; 模块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流量开关/防爆</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图形输出-&gt;外部控制器输入图像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水流开关 -&gt; 模块 1 DI-2</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测量流量</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人工智能</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图形输出-&gt;外部控制器输入图像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水流量传感器 -&gt; 模块 2 AI-1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水准备好了</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图形输出-&gt;外部控制器输入图像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Water.Proven -&gt; 模块 2 DI-1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步进命令</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AO</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外部控制器 -&gt; 图形输入</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Compressor3.Economizer.StepperCommand -&gt; 模块 1 AO-3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电磁阀指令</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溶解氧</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外部控制器 -&gt; 图形输入</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压缩机1.Economizer.SolenoidCommand -&gt; 模块 1 DO-1</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阀门开启证明</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DI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 TON 输出 -&gt; 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压缩机1.经济器.ValveOpenProof -&gt; 模块 1 DI-4</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压力/过热度</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人工智能</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图工程转换-&gt;外部控制器输入图像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压缩机2.省煤器.压力 -&gt; AI-3</w:t>
            </w:r>
          </w:p>
        </w:tc>
      </w:tr>
      <w:tr>
        <w:trPr>
          <w:trHeight w:hRule="atLeast"/>
          <w:cantSplit/>
        </w:trPr>
        <w:tc>
          <w:tcPr>
            <w:tcW w:type="dxa" w:w="2350"/>
            <w:tcMar>
              <w:top w:w="80" w:type="dxa"/>
              <w:bottom w:w="80" w:type="dxa"/>
              <w:start w:w="120" w:type="dxa"/>
              <w:end w:w="120" w:type="dxa"/>
            </w:tcMar>
            <w:vAlign w:val="center"/>
          </w:tcPr>
          <w:p>
            <w:pPr>
              <w:spacing w:before="0" w:after="0" w:line="259" w:lineRule="auto"/>
              <w:jc w:val="left"/>
            </w:pPr>
            <w:r>
              <w:rPr>
                <w:rFonts w:ascii="Calibri" w:hAnsi="Calibri"/>
                <w:sz w:val="16"/>
              </w:rPr>
              <w:t>级间温度</w:t>
            </w:r>
          </w:p>
        </w:tc>
        <w:tc>
          <w:tcPr>
            <w:tcW w:type="dxa" w:w="1750"/>
            <w:tcMar>
              <w:top w:w="80" w:type="dxa"/>
              <w:bottom w:w="80" w:type="dxa"/>
              <w:start w:w="120" w:type="dxa"/>
              <w:end w:w="120" w:type="dxa"/>
            </w:tcMar>
            <w:vAlign w:val="center"/>
          </w:tcPr>
          <w:p>
            <w:pPr>
              <w:spacing w:before="0" w:after="0" w:line="259" w:lineRule="auto"/>
              <w:jc w:val="left"/>
            </w:pPr>
            <w:r>
              <w:rPr>
                <w:rFonts w:ascii="Calibri" w:hAnsi="Calibri"/>
                <w:sz w:val="16"/>
              </w:rPr>
              <w:t>TI</w:t>
            </w:r>
          </w:p>
        </w:tc>
        <w:tc>
          <w:tcPr>
            <w:tcW w:type="dxa" w:w="3010"/>
            <w:tcMar>
              <w:top w:w="80" w:type="dxa"/>
              <w:bottom w:w="80" w:type="dxa"/>
              <w:start w:w="120" w:type="dxa"/>
              <w:end w:w="120" w:type="dxa"/>
            </w:tcMar>
            <w:vAlign w:val="center"/>
          </w:tcPr>
          <w:p>
            <w:pPr>
              <w:spacing w:before="0" w:after="0" w:line="259" w:lineRule="auto"/>
              <w:jc w:val="left"/>
            </w:pPr>
            <w:r>
              <w:rPr>
                <w:rFonts w:ascii="Calibri" w:hAnsi="Calibri"/>
                <w:sz w:val="16"/>
              </w:rPr>
              <w:t>图工程值-&gt;外部控制器输入图像</w:t>
            </w:r>
          </w:p>
        </w:tc>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6"/>
              </w:rPr>
              <w:t>Compressor2.Economizer.Temperature -&gt; 命名的 TI 点</w:t>
            </w:r>
          </w:p>
        </w:tc>
      </w:tr>
    </w:tbl>
    <w:p>
      <w:pPr>
        <w:spacing w:after="20"/>
      </w:pPr>
    </w:p>
    <w:p>
      <w:pPr>
        <w:pStyle w:val="Heading2"/>
      </w:pPr>
      <w:r>
        <w:t>安全分配方法</w:t>
      </w:r>
    </w:p>
    <w:p>
      <w:pPr>
        <w:numPr>
          <w:ilvl w:val="0"/>
          <w:numId w:val="12"/>
        </w:numPr>
      </w:pPr>
      <w:r>
        <w:rPr>
          <w:rFonts w:ascii="Calibri" w:hAnsi="Calibri"/>
        </w:rPr>
        <w:t>编写包含设备稳定 ID、通道、电气方向、工程角色、范围和所有者的 I/O 计划。</w:t>
      </w:r>
    </w:p>
    <w:p>
      <w:pPr>
        <w:numPr>
          <w:ilvl w:val="0"/>
          <w:numId w:val="12"/>
        </w:numPr>
      </w:pPr>
      <w:r>
        <w:rPr>
          <w:rFonts w:ascii="Calibri" w:hAnsi="Calibri"/>
        </w:rPr>
        <w:t>在配置工厂中仅选择兼容点。数字角色不能使用模拟点；工程出版物必须匹配点类型和单位转换。</w:t>
      </w:r>
    </w:p>
    <w:p>
      <w:pPr>
        <w:numPr>
          <w:ilvl w:val="0"/>
          <w:numId w:val="12"/>
        </w:numPr>
      </w:pPr>
      <w:r>
        <w:rPr>
          <w:rFonts w:ascii="Calibri" w:hAnsi="Calibri"/>
        </w:rPr>
        <w:t>为每个可写逻辑角色赋予唯一的物理点。编译器拒绝重复的逻辑所有权和物理输出冲突。</w:t>
      </w:r>
    </w:p>
    <w:p>
      <w:pPr>
        <w:numPr>
          <w:ilvl w:val="0"/>
          <w:numId w:val="12"/>
        </w:numPr>
      </w:pPr>
      <w:r>
        <w:rPr>
          <w:rFonts w:ascii="Calibri" w:hAnsi="Calibri"/>
        </w:rPr>
        <w:t>对于从原始寄存器解码的输入，配置协议适配器并将解码的类型值发布到逻辑角色。不要使用第二个命名点源重复该角色。</w:t>
      </w:r>
    </w:p>
    <w:p>
      <w:pPr>
        <w:numPr>
          <w:ilvl w:val="0"/>
          <w:numId w:val="12"/>
        </w:numPr>
      </w:pPr>
      <w:r>
        <w:rPr>
          <w:rFonts w:ascii="Calibri" w:hAnsi="Calibri"/>
        </w:rPr>
        <w:t>应用拓扑并检查生成的输入/输出节点。将每个重要输出追溯到激活前选定的物理点。</w:t>
      </w:r>
    </w:p>
    <w:p>
      <w:pPr>
        <w:keepNext/>
        <w:spacing w:before="80" w:after="0"/>
        <w:jc w:val="center"/>
      </w:pPr>
      <w:r>
        <w:drawing>
          <wp:inline xmlns:a="http://schemas.openxmlformats.org/drawingml/2006/main" xmlns:pic="http://schemas.openxmlformats.org/drawingml/2006/picture">
            <wp:extent cx="5806440" cy="3556444"/>
            <wp:docPr id="4" name="Picture 4" descr="Dark-theme Configure Plant protocol-adapter section with device, register, codec, unit, and bit selection."/>
            <wp:cNvGraphicFramePr>
              <a:graphicFrameLocks noChangeAspect="1"/>
            </wp:cNvGraphicFramePr>
            <a:graphic>
              <a:graphicData uri="http://schemas.openxmlformats.org/drawingml/2006/picture">
                <pic:pic>
                  <pic:nvPicPr>
                    <pic:cNvPr id="0" name="SystemIntegrationProjectPackageValidation_20260723_Phase7_Phase5ProtocolAdapters.png"/>
                    <pic:cNvPicPr/>
                  </pic:nvPicPr>
                  <pic:blipFill>
                    <a:blip r:embed="rId16"/>
                    <a:stretch>
                      <a:fillRect/>
                    </a:stretch>
                  </pic:blipFill>
                  <pic:spPr>
                    <a:xfrm>
                      <a:off x="0" y="0"/>
                      <a:ext cx="5806440" cy="3556444"/>
                    </a:xfrm>
                    <a:prstGeom prst="rect"/>
                  </pic:spPr>
                </pic:pic>
              </a:graphicData>
            </a:graphic>
          </wp:inline>
        </w:drawing>
      </w:r>
    </w:p>
    <w:p>
      <w:pPr>
        <w:pStyle w:val="GuideCaption"/>
        <w:keepNext w:val="0"/>
      </w:pPr>
      <w:r>
        <w:t>图 4. 协议适配器在工厂逻辑之前将只读原始寄存器和打包位转换为命名类型角色。</w:t>
      </w:r>
    </w:p>
    <w:p>
      <w:pPr>
        <w:pStyle w:val="Heading1"/>
      </w:pPr>
      <w:r>
        <w:t>5. 水确认向导</w:t>
      </w:r>
    </w:p>
    <w:p>
      <w:pPr>
        <w:keepNext/>
        <w:spacing w:after="160"/>
      </w:pPr>
      <w:r>
        <w:rPr>
          <w:rFonts w:ascii="Calibri" w:hAnsi="Calibri"/>
          <w:i/>
          <w:color w:val="0B2545"/>
          <w:sz w:val="22"/>
        </w:rPr>
        <w:t>水确认是一个可重复使用的工厂模块。 Pump Enable 是可选的，并不确定是否存在水确认。</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400"/>
        <w:gridCol w:w="426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模式</w:t>
            </w:r>
          </w:p>
        </w:tc>
        <w:tc>
          <w:tcPr>
            <w:tcW w:type="dxa" w:w="34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所需来源</w:t>
            </w:r>
          </w:p>
        </w:tc>
        <w:tc>
          <w:tcPr>
            <w:tcW w:type="dxa" w:w="42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证明行为</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残疾人</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无</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不产生防水；仅当下游工厂不需要时才使用。</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数码</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指定流量开关/防爆 DI</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对于证明延迟，配置的数字状态必须保持正确。</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模拟流量</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指定AI加上满量程和最小流量</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原始百分比转换为kg/s并与最小流量进行比较；结果通过证明延迟。</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组合</w:t>
            </w:r>
          </w:p>
        </w:tc>
        <w:tc>
          <w:tcPr>
            <w:tcW w:type="dxa" w:w="3400"/>
            <w:tcMar>
              <w:top w:w="80" w:type="dxa"/>
              <w:bottom w:w="80" w:type="dxa"/>
              <w:start w:w="120" w:type="dxa"/>
              <w:end w:w="120" w:type="dxa"/>
            </w:tcMar>
            <w:vAlign w:val="center"/>
          </w:tcPr>
          <w:p>
            <w:pPr>
              <w:spacing w:before="0" w:after="0" w:line="259" w:lineRule="auto"/>
              <w:jc w:val="left"/>
            </w:pPr>
            <w:r>
              <w:rPr>
                <w:rFonts w:ascii="Calibri" w:hAnsi="Calibri"/>
                <w:sz w:val="17"/>
              </w:rPr>
              <w:t>数字打样和模拟流程</w:t>
            </w:r>
          </w:p>
        </w:tc>
        <w:tc>
          <w:tcPr>
            <w:tcW w:type="dxa" w:w="4260"/>
            <w:tcMar>
              <w:top w:w="80" w:type="dxa"/>
              <w:bottom w:w="80" w:type="dxa"/>
              <w:start w:w="120" w:type="dxa"/>
              <w:end w:w="120" w:type="dxa"/>
            </w:tcMar>
            <w:vAlign w:val="center"/>
          </w:tcPr>
          <w:p>
            <w:pPr>
              <w:spacing w:before="0" w:after="0" w:line="259" w:lineRule="auto"/>
              <w:jc w:val="left"/>
            </w:pPr>
            <w:r>
              <w:rPr>
                <w:rFonts w:ascii="Calibri" w:hAnsi="Calibri"/>
                <w:sz w:val="17"/>
              </w:rPr>
              <w:t>对于证明延迟，这两个条件都必须保持成立。</w:t>
            </w:r>
          </w:p>
        </w:tc>
      </w:tr>
    </w:tbl>
    <w:p>
      <w:pPr>
        <w:spacing w:after="20"/>
      </w:pPr>
    </w:p>
    <w:p>
      <w:pPr>
        <w:pStyle w:val="Heading2"/>
      </w:pPr>
      <w:r>
        <w:t>配置字段</w:t>
      </w:r>
    </w:p>
    <w:p>
      <w:pPr>
        <w:numPr>
          <w:ilvl w:val="0"/>
          <w:numId w:val="10"/>
        </w:numPr>
      </w:pPr>
      <w:r>
        <w:rPr>
          <w:rFonts w:ascii="Calibri" w:hAnsi="Calibri"/>
        </w:rPr>
        <w:t>使用启用请求：映射设备启动刺激，通常为 DI-1，但从未硬编码。</w:t>
      </w:r>
    </w:p>
    <w:p>
      <w:pPr>
        <w:numPr>
          <w:ilvl w:val="0"/>
          <w:numId w:val="10"/>
        </w:numPr>
      </w:pPr>
      <w:r>
        <w:rPr>
          <w:rFonts w:ascii="Calibri" w:hAnsi="Calibri"/>
        </w:rPr>
        <w:t>使用泵启用：仅在项目需要时读取外部控制器泵 DO。</w:t>
      </w:r>
    </w:p>
    <w:p>
      <w:pPr>
        <w:numPr>
          <w:ilvl w:val="0"/>
          <w:numId w:val="10"/>
        </w:numPr>
      </w:pPr>
      <w:r>
        <w:rPr>
          <w:rFonts w:ascii="Calibri" w:hAnsi="Calibri"/>
        </w:rPr>
        <w:t>数字证明输出：模拟 DI 反馈，用于开关式水确认。</w:t>
      </w:r>
    </w:p>
    <w:p>
      <w:pPr>
        <w:numPr>
          <w:ilvl w:val="0"/>
          <w:numId w:val="10"/>
        </w:numPr>
      </w:pPr>
      <w:r>
        <w:rPr>
          <w:rFonts w:ascii="Calibri" w:hAnsi="Calibri"/>
        </w:rPr>
        <w:t>模拟流量输出：模拟AI反馈。在 kg/s 中设置正常流量、模拟满量程和最小可接受流量。</w:t>
      </w:r>
    </w:p>
    <w:p>
      <w:pPr>
        <w:numPr>
          <w:ilvl w:val="0"/>
          <w:numId w:val="10"/>
        </w:numPr>
      </w:pPr>
      <w:r>
        <w:rPr>
          <w:rFonts w:ascii="Calibri" w:hAnsi="Calibri"/>
        </w:rPr>
        <w:t>写入就绪输出：在指定的 DI 上发布最终的水确认状态。</w:t>
      </w:r>
    </w:p>
    <w:p>
      <w:pPr>
        <w:numPr>
          <w:ilvl w:val="0"/>
          <w:numId w:val="10"/>
        </w:numPr>
      </w:pPr>
      <w:r>
        <w:rPr>
          <w:rFonts w:ascii="Calibri" w:hAnsi="Calibri"/>
        </w:rPr>
        <w:t>证明延迟：可编辑的连续真实 TON 延迟。任何所需条件变为假都会重置经过的时间。</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常见植物选择  </w:t>
      </w:r>
      <w:r>
        <w:rPr>
          <w:rFonts w:ascii="Calibri" w:hAnsi="Calibri"/>
        </w:rPr>
        <w:t>大多数机器需要水确认，但不需要单独的泵启用输入。选择“数字”、“模拟流量”或“组合”，然后将“使用泵启用”保留为清除状态，除非控制器的泵命令是预期验证链的一部分。</w:t>
      </w:r>
    </w:p>
    <w:p>
      <w:pPr>
        <w:pStyle w:val="Heading1"/>
      </w:pPr>
      <w:r>
        <w:t>6、省煤器配置</w:t>
      </w:r>
    </w:p>
    <w:p>
      <w:pPr>
        <w:keepNext/>
        <w:spacing w:after="160"/>
      </w:pPr>
      <w:r>
        <w:rPr>
          <w:rFonts w:ascii="Calibri" w:hAnsi="Calibri"/>
          <w:i/>
          <w:color w:val="0B2545"/>
          <w:sz w:val="22"/>
        </w:rPr>
        <w:t>Phase 7 将电路共享闪蒸罐与压缩机专用热交换器区分开来，并为每个热交换器实例提供独立的 I/O。</w:t>
      </w:r>
    </w:p>
    <w:p>
      <w:pPr>
        <w:pStyle w:val="Heading2"/>
      </w:pPr>
      <w:r>
        <w:t>闪蒸罐省煤器</w:t>
      </w:r>
    </w:p>
    <w:p>
      <w:pPr>
        <w:numPr>
          <w:ilvl w:val="0"/>
          <w:numId w:val="10"/>
        </w:numPr>
      </w:pPr>
      <w:r>
        <w:rPr>
          <w:rFonts w:ascii="Calibri" w:hAnsi="Calibri"/>
        </w:rPr>
        <w:t>将闪蒸罐安装在电路槽 A 或 B 中。该电路/槽会出现一次。</w:t>
      </w:r>
    </w:p>
    <w:p>
      <w:pPr>
        <w:numPr>
          <w:ilvl w:val="0"/>
          <w:numId w:val="10"/>
        </w:numPr>
      </w:pPr>
      <w:r>
        <w:rPr>
          <w:rFonts w:ascii="Calibri" w:hAnsi="Calibri"/>
        </w:rPr>
        <w:t>回路容量/质量流量总和驱动容器目标。</w:t>
      </w:r>
    </w:p>
    <w:p>
      <w:pPr>
        <w:numPr>
          <w:ilvl w:val="0"/>
          <w:numId w:val="10"/>
        </w:numPr>
      </w:pPr>
      <w:r>
        <w:rPr>
          <w:rFonts w:ascii="Calibri" w:hAnsi="Calibri"/>
        </w:rPr>
        <w:t>分配阀门命令、可选液位发布、质量流量系数、阀门增益、最小和最大液位、标称液位和响应时间。</w:t>
      </w:r>
    </w:p>
    <w:p>
      <w:pPr>
        <w:numPr>
          <w:ilvl w:val="0"/>
          <w:numId w:val="10"/>
        </w:numPr>
      </w:pPr>
      <w:r>
        <w:rPr>
          <w:rFonts w:ascii="Calibri" w:hAnsi="Calibri"/>
        </w:rPr>
        <w:t>使用控制质量监视器比较阀门命令、液位目标、测量/模拟液位、质量和配置液位带之外的时间。</w:t>
      </w:r>
    </w:p>
    <w:p>
      <w:pPr>
        <w:pStyle w:val="Heading2"/>
      </w:pPr>
      <w:r>
        <w:t>热交换器节能器 - 每台压缩机一个实例</w:t>
      </w:r>
    </w:p>
    <w:p>
      <w:pPr>
        <w:numPr>
          <w:ilvl w:val="0"/>
          <w:numId w:val="10"/>
        </w:numPr>
      </w:pPr>
      <w:r>
        <w:rPr>
          <w:rFonts w:ascii="Calibri" w:hAnsi="Calibri"/>
        </w:rPr>
        <w:t>在电路插槽 A 或 B 中安装热交换器，并将每台适用的压缩机分配到该插槽。</w:t>
      </w:r>
    </w:p>
    <w:p>
      <w:pPr>
        <w:numPr>
          <w:ilvl w:val="0"/>
          <w:numId w:val="10"/>
        </w:numPr>
      </w:pPr>
      <w:r>
        <w:rPr>
          <w:rFonts w:ascii="Calibri" w:hAnsi="Calibri"/>
        </w:rPr>
        <w:t>电路设置是工程默认值，但每个压缩机的扩展器是唯一物理 I/O 的权威。</w:t>
      </w:r>
    </w:p>
    <w:p>
      <w:pPr>
        <w:numPr>
          <w:ilvl w:val="0"/>
          <w:numId w:val="10"/>
        </w:numPr>
      </w:pPr>
      <w:r>
        <w:rPr>
          <w:rFonts w:ascii="Calibri" w:hAnsi="Calibri"/>
        </w:rPr>
        <w:t>每个实例都使用其压缩机的冷却贡献来导出制冷剂质量流量。它不是由一个共享电路部分驱动的。</w:t>
      </w:r>
    </w:p>
    <w:p>
      <w:pPr>
        <w:numPr>
          <w:ilvl w:val="0"/>
          <w:numId w:val="10"/>
        </w:numPr>
      </w:pPr>
      <w:r>
        <w:rPr>
          <w:rFonts w:ascii="Calibri" w:hAnsi="Calibri"/>
        </w:rPr>
        <w:t>分配独特的 AO 步进命令、可选的 DO 电磁阀命令、可选的延迟 DI 证明、压力 AI、级间温度 TI 和过热度 AI。</w:t>
      </w:r>
    </w:p>
    <w:p>
      <w:pPr>
        <w:numPr>
          <w:ilvl w:val="0"/>
          <w:numId w:val="10"/>
        </w:numPr>
      </w:pPr>
      <w:r>
        <w:rPr>
          <w:rFonts w:ascii="Calibri" w:hAnsi="Calibri"/>
        </w:rPr>
        <w:t>配置设计质量流量、基础压力、压力增益/泄压、基础过热度、质量流量和阀门增益、设定点、步进响应和满量程。</w:t>
      </w:r>
    </w:p>
    <w:p>
      <w:pPr>
        <w:keepNext/>
        <w:spacing w:before="80" w:after="0"/>
        <w:jc w:val="center"/>
      </w:pPr>
      <w:r>
        <w:drawing>
          <wp:inline xmlns:a="http://schemas.openxmlformats.org/drawingml/2006/main" xmlns:pic="http://schemas.openxmlformats.org/drawingml/2006/picture">
            <wp:extent cx="5806440" cy="3556444"/>
            <wp:docPr id="5" name="Picture 5" descr="Dark-theme economizer configuration with flash-tank and heat-exchanger tuning, publications, and channel selectors."/>
            <wp:cNvGraphicFramePr>
              <a:graphicFrameLocks noChangeAspect="1"/>
            </wp:cNvGraphicFramePr>
            <a:graphic>
              <a:graphicData uri="http://schemas.openxmlformats.org/drawingml/2006/picture">
                <pic:pic>
                  <pic:nvPicPr>
                    <pic:cNvPr id="0" name="SystemIntegrationProjectPackageValidation_20260723_Phase7_EconomizerConfiguration.png"/>
                    <pic:cNvPicPr/>
                  </pic:nvPicPr>
                  <pic:blipFill>
                    <a:blip r:embed="rId17"/>
                    <a:stretch>
                      <a:fillRect/>
                    </a:stretch>
                  </pic:blipFill>
                  <pic:spPr>
                    <a:xfrm>
                      <a:off x="0" y="0"/>
                      <a:ext cx="5806440" cy="3556444"/>
                    </a:xfrm>
                    <a:prstGeom prst="rect"/>
                  </pic:spPr>
                </pic:pic>
              </a:graphicData>
            </a:graphic>
          </wp:inline>
        </w:drawing>
      </w:r>
    </w:p>
    <w:p>
      <w:pPr>
        <w:pStyle w:val="GuideCaption"/>
        <w:keepNext w:val="0"/>
      </w:pPr>
      <w:r>
        <w:t>图 5. 电路节能器工程设置种子分配的压缩机；每个压缩机部分都有独特的热交换器 I/O。</w:t>
      </w:r>
    </w:p>
    <w:p>
      <w:pPr>
        <w:keepNext/>
        <w:spacing w:before="80" w:after="0"/>
        <w:jc w:val="center"/>
      </w:pPr>
      <w:r>
        <w:drawing>
          <wp:inline xmlns:a="http://schemas.openxmlformats.org/drawingml/2006/main" xmlns:pic="http://schemas.openxmlformats.org/drawingml/2006/picture">
            <wp:extent cx="5806440" cy="3556444"/>
            <wp:docPr id="6" name="Picture 6" descr="Dark-theme detailed economizer Signal Logic canvas with inputs, dynamic blocks, outputs, active paths, and inspector."/>
            <wp:cNvGraphicFramePr>
              <a:graphicFrameLocks noChangeAspect="1"/>
            </wp:cNvGraphicFramePr>
            <a:graphic>
              <a:graphicData uri="http://schemas.openxmlformats.org/drawingml/2006/picture">
                <pic:pic>
                  <pic:nvPicPr>
                    <pic:cNvPr id="0" name="SystemIntegrationProjectPackageValidation_20260723_Phase7_Economizer1B.png"/>
                    <pic:cNvPicPr/>
                  </pic:nvPicPr>
                  <pic:blipFill>
                    <a:blip r:embed="rId18"/>
                    <a:stretch>
                      <a:fillRect/>
                    </a:stretch>
                  </pic:blipFill>
                  <pic:spPr>
                    <a:xfrm>
                      <a:off x="0" y="0"/>
                      <a:ext cx="5806440" cy="3556444"/>
                    </a:xfrm>
                    <a:prstGeom prst="rect"/>
                  </pic:spPr>
                </pic:pic>
              </a:graphicData>
            </a:graphic>
          </wp:inline>
        </w:drawing>
      </w:r>
    </w:p>
    <w:p>
      <w:pPr>
        <w:pStyle w:val="GuideCaption"/>
        <w:keepNext w:val="0"/>
      </w:pPr>
      <w:r>
        <w:t>图 6. 详细的节能器画布显示了主动转换路径和实时工程值。</w:t>
      </w:r>
    </w:p>
    <w:p>
      <w:pPr>
        <w:pStyle w:val="Heading2"/>
      </w:pPr>
      <w:r>
        <w:t>可选电磁阀和可编辑 TON 阀门打开证明</w:t>
      </w:r>
    </w:p>
    <w:p>
      <w:r>
        <w:rPr>
          <w:rFonts w:ascii="Calibri" w:hAnsi="Calibri"/>
        </w:rPr>
        <w:t>当辅助控制器 DO 为级间电磁阀通电时，选择有电磁阀并分配其 DO 命令。如果测试还需要模拟辅助证明，请选择发布阀门打开证明，分配 DI，并设置阀门打开证明延迟。仅当螺线管命令在配置的时间内保持连续通电时，生成的 OnDelay 块才会发布证明。</w:t>
      </w:r>
    </w:p>
    <w:p>
      <w:pPr>
        <w:pStyle w:val="GuideCode"/>
        <w:keepLines/>
        <w:shd w:fill="F7F9FB" w:val="clear"/>
        <w:pBdr>
          <w:left w:val="single" w:sz="12" w:space="8" w:color="1F4D78"/>
        </w:pBdr>
      </w:pPr>
      <w:r>
        <w:rPr>
          <w:rFonts w:ascii="Courier New" w:hAnsi="Courier New"/>
          <w:sz w:val="16"/>
        </w:rPr>
        <w:t>DO solenoid command -&gt; OnDelay Input</w:t>
        <w:br/>
      </w:r>
      <w:r>
        <w:rPr>
          <w:rFonts w:ascii="Courier New" w:hAnsi="Courier New"/>
          <w:sz w:val="16"/>
        </w:rPr>
        <w:t>Valve-open proof delay (s) -&gt; OnDelay Delay</w:t>
        <w:br/>
      </w:r>
      <w:r>
        <w:rPr>
          <w:rFonts w:ascii="Courier New" w:hAnsi="Courier New"/>
          <w:sz w:val="16"/>
        </w:rPr>
        <w:t>OnDelay Value -&gt; assigned DI valve-open proof</w:t>
        <w:br/>
      </w:r>
      <w:r>
        <w:rPr>
          <w:rFonts w:ascii="Courier New" w:hAnsi="Courier New"/>
          <w:sz w:val="16"/>
        </w:rPr>
        <w:br/>
      </w:r>
      <w:r>
        <w:rPr>
          <w:rFonts w:ascii="Courier New" w:hAnsi="Courier New"/>
          <w:sz w:val="16"/>
        </w:rPr>
        <w:t>Command opens before delay: elapsed resets to 0</w:t>
        <w:br/>
      </w:r>
      <w:r>
        <w:rPr>
          <w:rFonts w:ascii="Courier New" w:hAnsi="Courier New"/>
          <w:sz w:val="16"/>
        </w:rPr>
        <w:t>Command remains closed for delay: proof becomes true</w:t>
        <w:br/>
      </w:r>
      <w:r>
        <w:rPr>
          <w:rFonts w:ascii="Courier New" w:hAnsi="Courier New"/>
          <w:sz w:val="16"/>
        </w:rPr>
        <w:t>Command opens after proof: proof resets immediately</w:t>
      </w:r>
    </w:p>
    <w:p>
      <w:pPr>
        <w:keepLines/>
        <w:spacing w:before="100" w:after="160" w:line="283" w:lineRule="auto"/>
        <w:ind w:left="173" w:right="115"/>
        <w:pBdr>
          <w:left w:val="single" w:sz="20" w:space="8" w:color="7A5A00"/>
        </w:pBdr>
        <w:shd w:fill="FFF9E8" w:val="clear"/>
      </w:pPr>
      <w:r>
        <w:rPr>
          <w:rFonts w:ascii="Calibri" w:hAnsi="Calibri"/>
          <w:b/>
          <w:color w:val="7A5A00"/>
        </w:rPr>
        <w:t xml:space="preserve">物理交换机替代方案  </w:t>
      </w:r>
      <w:r>
        <w:rPr>
          <w:rFonts w:ascii="Calibri" w:hAnsi="Calibri"/>
        </w:rPr>
        <w:t>生成的 TON 模型执行器行程用于测试。如果项目必须使用真正的辅助开关/寄存器，请通过命名点或只读协议适配器绑定该测量值，并且不要将模拟证明发布到同一角色。</w:t>
      </w:r>
    </w:p>
    <w:p>
      <w:pPr>
        <w:pStyle w:val="Heading1"/>
      </w:pPr>
      <w:r>
        <w:t>7. 编辑、编译、审查、激活和运行</w:t>
      </w:r>
    </w:p>
    <w:p>
      <w:pPr>
        <w:keepNext/>
        <w:spacing w:after="160"/>
      </w:pPr>
      <w:r>
        <w:rPr>
          <w:rFonts w:ascii="Calibri" w:hAnsi="Calibri"/>
          <w:i/>
          <w:color w:val="0B2545"/>
          <w:sz w:val="22"/>
        </w:rPr>
        <w:t>生命周期状态是有意明确的。编辑速度来自向导和模块视图；运行时安全来自于将草稿工作与活动计划分开。</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80"/>
        <w:gridCol w:w="5450"/>
        <w:gridCol w:w="2130"/>
      </w:tblGrid>
      <w:tr>
        <w:trPr>
          <w:trHeight w:hRule="atLeast"/>
          <w:tblHeader w:val="true"/>
          <w:cantSplit/>
        </w:trPr>
        <w:tc>
          <w:tcPr>
            <w:tcW w:type="dxa" w:w="178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行动</w:t>
            </w:r>
          </w:p>
        </w:tc>
        <w:tc>
          <w:tcPr>
            <w:tcW w:type="dxa" w:w="5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结果</w:t>
            </w:r>
          </w:p>
        </w:tc>
        <w:tc>
          <w:tcPr>
            <w:tcW w:type="dxa" w:w="213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活动运行时间</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应用拓扑</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在可编辑草稿中重新生成向导管理的模块；保留分离的模块。</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不变</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编辑/导入逻辑</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更改节点值、接线、注释、布局或文本逻辑草稿。</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不变</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保存草稿</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存储本地草稿检查点。</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不变</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编译</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验证拓扑、角色、所有权、图表、端口、单元、周期，并创建不可变的候选修订/签名。</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不变</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保存项目</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以原子方式写入便携式 .modbussim 以及恢复备份处理。</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不变</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查看/激活</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重新验证包、修订版、指纹、端点和声明；原子地安装候选者。</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仅在成功时替换</w:t>
            </w:r>
          </w:p>
        </w:tc>
      </w:tr>
      <w:tr>
        <w:trPr>
          <w:trHeight w:hRule="atLeast"/>
          <w:cantSplit/>
        </w:trPr>
        <w:tc>
          <w:tcPr>
            <w:tcW w:type="dxa" w:w="1780"/>
            <w:tcMar>
              <w:top w:w="80" w:type="dxa"/>
              <w:bottom w:w="80" w:type="dxa"/>
              <w:start w:w="120" w:type="dxa"/>
              <w:end w:w="120" w:type="dxa"/>
            </w:tcMar>
            <w:vAlign w:val="center"/>
          </w:tcPr>
          <w:p>
            <w:pPr>
              <w:spacing w:before="0" w:after="0" w:line="259" w:lineRule="auto"/>
              <w:jc w:val="left"/>
            </w:pPr>
            <w:r>
              <w:rPr>
                <w:rFonts w:ascii="Calibri" w:hAnsi="Calibri"/>
                <w:sz w:val="17"/>
              </w:rPr>
              <w:t>运行</w:t>
            </w:r>
          </w:p>
        </w:tc>
        <w:tc>
          <w:tcPr>
            <w:tcW w:type="dxa" w:w="5450"/>
            <w:tcMar>
              <w:top w:w="80" w:type="dxa"/>
              <w:bottom w:w="80" w:type="dxa"/>
              <w:start w:w="120" w:type="dxa"/>
              <w:end w:w="120" w:type="dxa"/>
            </w:tcMar>
            <w:vAlign w:val="center"/>
          </w:tcPr>
          <w:p>
            <w:pPr>
              <w:spacing w:before="0" w:after="0" w:line="259" w:lineRule="auto"/>
              <w:jc w:val="left"/>
            </w:pPr>
            <w:r>
              <w:rPr>
                <w:rFonts w:ascii="Calibri" w:hAnsi="Calibri"/>
                <w:sz w:val="17"/>
              </w:rPr>
              <w:t>在确定性循环边界上执行活动计划。</w:t>
            </w:r>
          </w:p>
        </w:tc>
        <w:tc>
          <w:tcPr>
            <w:tcW w:type="dxa" w:w="2130"/>
            <w:tcMar>
              <w:top w:w="80" w:type="dxa"/>
              <w:bottom w:w="80" w:type="dxa"/>
              <w:start w:w="120" w:type="dxa"/>
              <w:end w:w="120" w:type="dxa"/>
            </w:tcMar>
            <w:vAlign w:val="center"/>
          </w:tcPr>
          <w:p>
            <w:pPr>
              <w:spacing w:before="0" w:after="0" w:line="259" w:lineRule="auto"/>
              <w:jc w:val="left"/>
            </w:pPr>
            <w:r>
              <w:rPr>
                <w:rFonts w:ascii="Calibri" w:hAnsi="Calibri"/>
                <w:sz w:val="17"/>
              </w:rPr>
              <w:t>相同的主动签名</w:t>
            </w:r>
          </w:p>
        </w:tc>
      </w:tr>
    </w:tbl>
    <w:p>
      <w:pPr>
        <w:spacing w:after="20"/>
      </w:pPr>
    </w:p>
    <w:p>
      <w:pPr>
        <w:pStyle w:val="Heading2"/>
      </w:pPr>
      <w:r>
        <w:t>编辑后做什么</w:t>
      </w:r>
    </w:p>
    <w:p>
      <w:pPr>
        <w:numPr>
          <w:ilvl w:val="0"/>
          <w:numId w:val="13"/>
        </w:numPr>
      </w:pPr>
      <w:r>
        <w:rPr>
          <w:rFonts w:ascii="Calibri" w:hAnsi="Calibri"/>
        </w:rPr>
        <w:t>保存草稿检查点并目视检查每个编辑的模块。</w:t>
      </w:r>
    </w:p>
    <w:p>
      <w:pPr>
        <w:numPr>
          <w:ilvl w:val="0"/>
          <w:numId w:val="13"/>
        </w:numPr>
      </w:pPr>
      <w:r>
        <w:rPr>
          <w:rFonts w:ascii="Calibri" w:hAnsi="Calibri"/>
        </w:rPr>
        <w:t>跟踪安全关键输出的来源，并验证定时器常数、单位、极性、复位行为和选定点。</w:t>
      </w:r>
    </w:p>
    <w:p>
      <w:pPr>
        <w:numPr>
          <w:ilvl w:val="0"/>
          <w:numId w:val="13"/>
        </w:numPr>
      </w:pPr>
      <w:r>
        <w:rPr>
          <w:rFonts w:ascii="Calibri" w:hAnsi="Calibri"/>
        </w:rPr>
        <w:t>编译。将每个错误视为阻塞；查看针对预期测试的警告。</w:t>
      </w:r>
    </w:p>
    <w:p>
      <w:pPr>
        <w:numPr>
          <w:ilvl w:val="0"/>
          <w:numId w:val="13"/>
        </w:numPr>
      </w:pPr>
      <w:r>
        <w:rPr>
          <w:rFonts w:ascii="Calibri" w:hAnsi="Calibri"/>
        </w:rPr>
        <w:t>将编译的修订版和签名与变更记录进行比较。确认预期的输出声明并且没有意外的原始写入。</w:t>
      </w:r>
    </w:p>
    <w:p>
      <w:pPr>
        <w:numPr>
          <w:ilvl w:val="0"/>
          <w:numId w:val="13"/>
        </w:numPr>
      </w:pPr>
      <w:r>
        <w:rPr>
          <w:rFonts w:ascii="Calibri" w:hAnsi="Calibri"/>
        </w:rPr>
        <w:t>选择查看/激活。如果编译后草稿发生变化或者审核后可移植图发生变化，激活将被拒绝。</w:t>
      </w:r>
    </w:p>
    <w:p>
      <w:pPr>
        <w:numPr>
          <w:ilvl w:val="0"/>
          <w:numId w:val="13"/>
        </w:numPr>
      </w:pPr>
      <w:r>
        <w:rPr>
          <w:rFonts w:ascii="Calibri" w:hAnsi="Calibri"/>
        </w:rPr>
        <w:t>在开始完整的自动化计划之前运行简短的干测试。仅在行为被接受后才保存批准的可移植项目。</w:t>
      </w:r>
    </w:p>
    <w:p>
      <w:pPr>
        <w:pStyle w:val="Heading1"/>
      </w:pPr>
      <w:r>
        <w:t>8. Phase 7激活安全及迁移</w:t>
      </w:r>
    </w:p>
    <w:p>
      <w:pPr>
        <w:keepNext/>
        <w:spacing w:after="160"/>
      </w:pPr>
      <w:r>
        <w:rPr>
          <w:rFonts w:ascii="Calibri" w:hAnsi="Calibri"/>
          <w:i/>
          <w:color w:val="0B2545"/>
          <w:sz w:val="22"/>
        </w:rPr>
        <w:t>安全元数据使经过审查的编译图防篡改，并在失败的验证或遗留迁移中保留先前的活动计划。</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50"/>
        <w:gridCol w:w="7110"/>
      </w:tblGrid>
      <w:tr>
        <w:trPr>
          <w:trHeight w:hRule="atLeast"/>
          <w:tblHeader w:val="true"/>
          <w:cantSplit/>
        </w:trPr>
        <w:tc>
          <w:tcPr>
            <w:tcW w:type="dxa" w:w="22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控制</w:t>
            </w:r>
          </w:p>
        </w:tc>
        <w:tc>
          <w:tcPr>
            <w:tcW w:type="dxa" w:w="71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Phase 7规则</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激活指纹</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SHA-256 是根据便携式项目存储的确定性图形内容计算得出的。</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修订锁</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预期的图形修订版必须等于激活时当前编译的修订版。</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立即重新验证</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完整的包会在审核/激活时再次验证，而不仅仅是在打开时验证。</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失败行为</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先前的有效签名、计划和输出所有权仍然保留。</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迁移行为</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较旧的软件包接收安全元数据作为仅草稿迁移；运行时间没有改变。</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旧图</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schema-8 单图作为行为保留遗留主模块打开。</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传统热交换器</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回路级热交换器设置为每个压缩机草案实例提供种子；原始编译的兼容性图在应用拓扑之前保持不变。</w:t>
            </w:r>
          </w:p>
        </w:tc>
      </w:tr>
      <w:tr>
        <w:trPr>
          <w:trHeight w:hRule="atLeast"/>
          <w:cantSplit/>
        </w:trPr>
        <w:tc>
          <w:tcPr>
            <w:tcW w:type="dxa" w:w="2250"/>
            <w:tcMar>
              <w:top w:w="80" w:type="dxa"/>
              <w:bottom w:w="80" w:type="dxa"/>
              <w:start w:w="120" w:type="dxa"/>
              <w:end w:w="120" w:type="dxa"/>
            </w:tcMar>
            <w:vAlign w:val="center"/>
          </w:tcPr>
          <w:p>
            <w:pPr>
              <w:spacing w:before="0" w:after="0" w:line="259" w:lineRule="auto"/>
              <w:jc w:val="left"/>
            </w:pPr>
            <w:r>
              <w:rPr>
                <w:rFonts w:ascii="Calibri" w:hAnsi="Calibri"/>
                <w:sz w:val="17"/>
              </w:rPr>
              <w:t>原子保存</w:t>
            </w:r>
          </w:p>
        </w:tc>
        <w:tc>
          <w:tcPr>
            <w:tcW w:type="dxa" w:w="7110"/>
            <w:tcMar>
              <w:top w:w="80" w:type="dxa"/>
              <w:bottom w:w="80" w:type="dxa"/>
              <w:start w:w="120" w:type="dxa"/>
              <w:end w:w="120" w:type="dxa"/>
            </w:tcMar>
            <w:vAlign w:val="center"/>
          </w:tcPr>
          <w:p>
            <w:pPr>
              <w:spacing w:before="0" w:after="0" w:line="259" w:lineRule="auto"/>
              <w:jc w:val="left"/>
            </w:pPr>
            <w:r>
              <w:rPr>
                <w:rFonts w:ascii="Calibri" w:hAnsi="Calibri"/>
                <w:sz w:val="17"/>
              </w:rPr>
              <w:t>中断的主保存会保留最后一个有效项目；恢复备份使用经过验证的备份。</w:t>
            </w:r>
          </w:p>
        </w:tc>
      </w:tr>
    </w:tbl>
    <w:p>
      <w:pPr>
        <w:spacing w:after="20"/>
      </w:pPr>
    </w:p>
    <w:p>
      <w:pPr>
        <w:pStyle w:val="Heading2"/>
      </w:pPr>
      <w:r>
        <w:t>移民审查程序</w:t>
      </w:r>
    </w:p>
    <w:p>
      <w:pPr>
        <w:numPr>
          <w:ilvl w:val="0"/>
          <w:numId w:val="14"/>
        </w:numPr>
      </w:pPr>
      <w:r>
        <w:rPr>
          <w:rFonts w:ascii="Calibri" w:hAnsi="Calibri"/>
        </w:rPr>
        <w:t>在在较新的应用程序版本中打开原始 .modbussim 及其 .bak 之前，制作其版本控制副本。</w:t>
      </w:r>
    </w:p>
    <w:p>
      <w:pPr>
        <w:numPr>
          <w:ilvl w:val="0"/>
          <w:numId w:val="14"/>
        </w:numPr>
      </w:pPr>
      <w:r>
        <w:rPr>
          <w:rFonts w:ascii="Calibri" w:hAnsi="Calibri"/>
        </w:rPr>
        <w:t>打开项目。阅读每个迁移诊断。确认当前活动计划没有改变。</w:t>
      </w:r>
    </w:p>
    <w:p>
      <w:pPr>
        <w:numPr>
          <w:ilvl w:val="0"/>
          <w:numId w:val="14"/>
        </w:numPr>
      </w:pPr>
      <w:r>
        <w:rPr>
          <w:rFonts w:ascii="Calibri" w:hAnsi="Calibri"/>
        </w:rPr>
        <w:t>如果项目被包装为legacy-main，首先使用保留的图验证行为。仅当项目准备好采用模块组合时才使用配置工厂。</w:t>
      </w:r>
    </w:p>
    <w:p>
      <w:pPr>
        <w:numPr>
          <w:ilvl w:val="0"/>
          <w:numId w:val="14"/>
        </w:numPr>
      </w:pPr>
      <w:r>
        <w:rPr>
          <w:rFonts w:ascii="Calibri" w:hAnsi="Calibri"/>
        </w:rPr>
        <w:t>对于传统热交换器，请在应用拓扑之前检查每个压缩机实例的每个种子并分配唯一的物理点。</w:t>
      </w:r>
    </w:p>
    <w:p>
      <w:pPr>
        <w:numPr>
          <w:ilvl w:val="0"/>
          <w:numId w:val="14"/>
        </w:numPr>
      </w:pPr>
      <w:r>
        <w:rPr>
          <w:rFonts w:ascii="Calibri" w:hAnsi="Calibri"/>
        </w:rPr>
        <w:t>编译、比较拓扑和输出声明，运行匹配回归测试，并仅在审核后激活。</w:t>
      </w:r>
    </w:p>
    <w:p>
      <w:pPr>
        <w:numPr>
          <w:ilvl w:val="0"/>
          <w:numId w:val="14"/>
        </w:numPr>
      </w:pPr>
      <w:r>
        <w:rPr>
          <w:rFonts w:ascii="Calibri" w:hAnsi="Calibri"/>
        </w:rPr>
        <w:t>以新修改的文件名保存；保留原件和备份，直至客户验收完毕。</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激活拒绝是一个安全的结果  </w:t>
      </w:r>
      <w:r>
        <w:rPr>
          <w:rFonts w:ascii="Calibri" w:hAnsi="Calibri"/>
        </w:rPr>
        <w:t>指纹不匹配、编译修订更改、无效所有权、不安全的原始输出、不支持的模板修订或无效拓扑必须使先前的计划保持运行。修改草稿并重新编译；不要试图绕过边界。</w:t>
      </w:r>
    </w:p>
    <w:p>
      <w:pPr>
        <w:pStyle w:val="Heading1"/>
      </w:pPr>
      <w:r>
        <w:t>9. 安全地开始通信</w:t>
      </w:r>
    </w:p>
    <w:p>
      <w:pPr>
        <w:keepNext/>
        <w:spacing w:after="160"/>
      </w:pPr>
      <w:r>
        <w:rPr>
          <w:rFonts w:ascii="Calibri" w:hAnsi="Calibri"/>
          <w:i/>
          <w:color w:val="0B2545"/>
          <w:sz w:val="22"/>
        </w:rPr>
        <w:t>通信是与编译和激活工厂计划不同的操作边界。</w:t>
      </w:r>
    </w:p>
    <w:p>
      <w:pPr>
        <w:pStyle w:val="Heading2"/>
      </w:pPr>
      <w:r>
        <w:t>推荐开始顺序</w:t>
      </w:r>
    </w:p>
    <w:p>
      <w:pPr>
        <w:numPr>
          <w:ilvl w:val="0"/>
          <w:numId w:val="15"/>
        </w:numPr>
      </w:pPr>
      <w:r>
        <w:rPr>
          <w:rFonts w:ascii="Calibri" w:hAnsi="Calibri"/>
        </w:rPr>
        <w:t>通信停止后，验证所有 I/O 模块和压缩机的 TCP/串行设置和唯一的单元 ID。</w:t>
      </w:r>
    </w:p>
    <w:p>
      <w:pPr>
        <w:numPr>
          <w:ilvl w:val="0"/>
          <w:numId w:val="15"/>
        </w:numPr>
      </w:pPr>
      <w:r>
        <w:rPr>
          <w:rFonts w:ascii="Calibri" w:hAnsi="Calibri"/>
        </w:rPr>
        <w:t>激活并运行经过审查的集成计划。确认没有编译/运行时诊断并且没有输出所有者冲突。</w:t>
      </w:r>
    </w:p>
    <w:p>
      <w:pPr>
        <w:numPr>
          <w:ilvl w:val="0"/>
          <w:numId w:val="15"/>
        </w:numPr>
      </w:pPr>
      <w:r>
        <w:rPr>
          <w:rFonts w:ascii="Calibri" w:hAnsi="Calibri"/>
        </w:rPr>
        <w:t>当打包设置发生更改时，启动或重新启动模拟器 I/O 端点，然后启动或重新启动压缩器端点。</w:t>
      </w:r>
    </w:p>
    <w:p>
      <w:pPr>
        <w:numPr>
          <w:ilvl w:val="0"/>
          <w:numId w:val="15"/>
        </w:numPr>
      </w:pPr>
      <w:r>
        <w:rPr>
          <w:rFonts w:ascii="Calibri" w:hAnsi="Calibri"/>
        </w:rPr>
        <w:t>允许外部控制器/客户端连接。验证它是否读取了预期的单元 ID，并且没有第二个进程拥有该端点。</w:t>
      </w:r>
    </w:p>
    <w:p>
      <w:pPr>
        <w:numPr>
          <w:ilvl w:val="0"/>
          <w:numId w:val="15"/>
        </w:numPr>
      </w:pPr>
      <w:r>
        <w:rPr>
          <w:rFonts w:ascii="Calibri" w:hAnsi="Calibri"/>
        </w:rPr>
        <w:t>在应用工厂启用之前观察通信和点质量。从处于安全/关闭状态的命令开始。</w:t>
      </w:r>
    </w:p>
    <w:p>
      <w:pPr>
        <w:numPr>
          <w:ilvl w:val="0"/>
          <w:numId w:val="15"/>
        </w:numPr>
      </w:pPr>
      <w:r>
        <w:rPr>
          <w:rFonts w:ascii="Calibri" w:hAnsi="Calibri"/>
        </w:rPr>
        <w:t>一次执行一个通道的方向检查，然后进行防水握手，然后进行压缩机/节能器响应。</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不要太早开始  </w:t>
      </w:r>
      <w:r>
        <w:rPr>
          <w:rFonts w:ascii="Calibri" w:hAnsi="Calibri"/>
        </w:rPr>
        <w:t>在确认单元 ID、端点所有权和物理角色分配之前连接控制器可能会使正确的逻辑图出现错误，或者驱动错误的模拟通道。</w:t>
      </w:r>
    </w:p>
    <w:p>
      <w:pPr>
        <w:pStyle w:val="Heading1"/>
      </w:pPr>
      <w:r>
        <w:t>10. 控制质量 监控工厂趋势</w:t>
      </w:r>
    </w:p>
    <w:p>
      <w:pPr>
        <w:keepNext/>
        <w:spacing w:after="160"/>
      </w:pPr>
      <w:r>
        <w:rPr>
          <w:rFonts w:ascii="Calibri" w:hAnsi="Calibri"/>
          <w:i/>
          <w:color w:val="0B2545"/>
          <w:sz w:val="22"/>
        </w:rPr>
        <w:t>监视器是一个观察工程工作空间。它在确定性循环后对内部和物理值进行采样，而不更改控制图。</w:t>
      </w:r>
    </w:p>
    <w:p>
      <w:pPr>
        <w:keepNext/>
        <w:spacing w:before="80" w:after="0"/>
        <w:jc w:val="center"/>
      </w:pPr>
      <w:r>
        <w:drawing>
          <wp:inline xmlns:a="http://schemas.openxmlformats.org/drawingml/2006/main" xmlns:pic="http://schemas.openxmlformats.org/drawingml/2006/picture">
            <wp:extent cx="5806440" cy="3556444"/>
            <wp:docPr id="7" name="Picture 7" descr="Dark-theme Control Quality Monitor with normalized vertical lanes for commands, proofs, valve position, level, pressure, temperature, superheat, and quality."/>
            <wp:cNvGraphicFramePr>
              <a:graphicFrameLocks noChangeAspect="1"/>
            </wp:cNvGraphicFramePr>
            <a:graphic>
              <a:graphicData uri="http://schemas.openxmlformats.org/drawingml/2006/picture">
                <pic:pic>
                  <pic:nvPicPr>
                    <pic:cNvPr id="0" name="SystemIntegrationProjectPackageValidation_20260723_Phase7_ControlQualityMonitor.png"/>
                    <pic:cNvPicPr/>
                  </pic:nvPicPr>
                  <pic:blipFill>
                    <a:blip r:embed="rId19"/>
                    <a:stretch>
                      <a:fillRect/>
                    </a:stretch>
                  </pic:blipFill>
                  <pic:spPr>
                    <a:xfrm>
                      <a:off x="0" y="0"/>
                      <a:ext cx="5806440" cy="3556444"/>
                    </a:xfrm>
                    <a:prstGeom prst="rect"/>
                  </pic:spPr>
                </pic:pic>
              </a:graphicData>
            </a:graphic>
          </wp:inline>
        </w:drawing>
      </w:r>
    </w:p>
    <w:p>
      <w:pPr>
        <w:pStyle w:val="GuideCaption"/>
        <w:keepNext w:val="0"/>
      </w:pPr>
      <w:r>
        <w:t>图 7. 控制质量监视器将命令、证明、过程响应和质量排列在一个模拟时间轴上。</w:t>
      </w:r>
    </w:p>
    <w:p>
      <w:pPr>
        <w:pStyle w:val="Heading2"/>
      </w:pPr>
      <w:r>
        <w:t>如何读取标准化车道</w:t>
      </w:r>
    </w:p>
    <w:p>
      <w:r>
        <w:rPr>
          <w:rFonts w:ascii="Calibri" w:hAnsi="Calibri"/>
        </w:rPr>
        <w:t>模拟值使用（值 - 预期最小值）/（预期最大值 - 预期最小值）。数字值使用离散频带。这使得不同单元的信号共享一个垂直时序图，而无需假装它们具有相同的工程量级。</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700"/>
        <w:gridCol w:w="6660"/>
      </w:tblGrid>
      <w:tr>
        <w:trPr>
          <w:trHeight w:hRule="atLeast"/>
          <w:tblHeader w:val="true"/>
          <w:cantSplit/>
        </w:trPr>
        <w:tc>
          <w:tcPr>
            <w:tcW w:type="dxa" w:w="2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趋势或指标</w:t>
            </w:r>
          </w:p>
        </w:tc>
        <w:tc>
          <w:tcPr>
            <w:tcW w:type="dxa" w:w="66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工程问题</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命令和验证通道</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证明是否遵循命令、以正确的顺序、没有喋喋不休？</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命令到证明延迟</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阀门、泵或辅助 TON 发出稳定命令后需要多长时间？</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响应时间</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液位、温度、压力或阀门位置需要多长时间才能进入预期范围？</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超调</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启动或负载变化期间响应超出目标/范围多远？</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时间超出限制</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稳定后该点在可编辑预期范围之外有多长时间？</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陈旧/无效的标记</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失败的趋势是由不可用的数据而不是控制响应引起的吗？</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每个压缩机的节能通道</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各个步进器、电磁阀/防爆信号、压力、温度和过热信号是否与压缩机的质量流量相匹配？</w:t>
            </w:r>
          </w:p>
        </w:tc>
      </w:tr>
      <w:tr>
        <w:trPr>
          <w:trHeight w:hRule="atLeast"/>
          <w:cantSplit/>
        </w:trPr>
        <w:tc>
          <w:tcPr>
            <w:tcW w:type="dxa" w:w="2700"/>
            <w:tcMar>
              <w:top w:w="80" w:type="dxa"/>
              <w:bottom w:w="80" w:type="dxa"/>
              <w:start w:w="120" w:type="dxa"/>
              <w:end w:w="120" w:type="dxa"/>
            </w:tcMar>
            <w:vAlign w:val="center"/>
          </w:tcPr>
          <w:p>
            <w:pPr>
              <w:spacing w:before="0" w:after="0" w:line="259" w:lineRule="auto"/>
              <w:jc w:val="left"/>
            </w:pPr>
            <w:r>
              <w:rPr>
                <w:rFonts w:ascii="Calibri" w:hAnsi="Calibri"/>
                <w:sz w:val="17"/>
              </w:rPr>
              <w:t>电路/工厂车道</w:t>
            </w:r>
          </w:p>
        </w:tc>
        <w:tc>
          <w:tcPr>
            <w:tcW w:type="dxa" w:w="6660"/>
            <w:tcMar>
              <w:top w:w="80" w:type="dxa"/>
              <w:bottom w:w="80" w:type="dxa"/>
              <w:start w:w="120" w:type="dxa"/>
              <w:end w:w="120" w:type="dxa"/>
            </w:tcMar>
            <w:vAlign w:val="center"/>
          </w:tcPr>
          <w:p>
            <w:pPr>
              <w:spacing w:before="0" w:after="0" w:line="259" w:lineRule="auto"/>
              <w:jc w:val="left"/>
            </w:pPr>
            <w:r>
              <w:rPr>
                <w:rFonts w:ascii="Calibri" w:hAnsi="Calibri"/>
                <w:sz w:val="17"/>
              </w:rPr>
              <w:t>共享闪存级别和总容量是否遵循正确的电路和设备总和？</w:t>
            </w:r>
          </w:p>
        </w:tc>
      </w:tr>
    </w:tbl>
    <w:p>
      <w:pPr>
        <w:spacing w:after="20"/>
      </w:pPr>
    </w:p>
    <w:p>
      <w:pPr>
        <w:keepLines/>
        <w:spacing w:before="100" w:after="160" w:line="283" w:lineRule="auto"/>
        <w:ind w:left="173" w:right="115"/>
        <w:pBdr>
          <w:left w:val="single" w:sz="20" w:space="8" w:color="7A5A00"/>
        </w:pBdr>
        <w:shd w:fill="FFF9E8" w:val="clear"/>
      </w:pPr>
      <w:r>
        <w:rPr>
          <w:rFonts w:ascii="Calibri" w:hAnsi="Calibri"/>
          <w:b/>
          <w:color w:val="7A5A00"/>
        </w:rPr>
        <w:t xml:space="preserve">预期范围不是控制设置  </w:t>
      </w:r>
      <w:r>
        <w:rPr>
          <w:rFonts w:ascii="Calibri" w:hAnsi="Calibri"/>
        </w:rPr>
        <w:t>编辑监测范围仅更改标准化、建议和证据。它不会调整步进器、闪蒸罐液位、水循环或活动运行时间。更改“配置工厂”或可编辑图形中的控制设置，然后编译并激活。</w:t>
      </w:r>
    </w:p>
    <w:p>
      <w:pPr>
        <w:pStyle w:val="Heading1"/>
      </w:pPr>
      <w:r>
        <w:t>11. 文件、位置、扩展名和用途</w:t>
      </w:r>
    </w:p>
    <w:p>
      <w:pPr>
        <w:keepNext/>
        <w:spacing w:after="160"/>
      </w:pPr>
      <w:r>
        <w:rPr>
          <w:rFonts w:ascii="Calibri" w:hAnsi="Calibri"/>
          <w:i/>
          <w:color w:val="0B2545"/>
          <w:sz w:val="22"/>
        </w:rPr>
        <w:t>使用便携式项目作为主交接。本地草稿和激活的快照是实施辅助工具，不能替代完整的包。</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3100"/>
        <w:gridCol w:w="40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文件/扩展名</w:t>
            </w:r>
          </w:p>
        </w:tc>
        <w:tc>
          <w:tcPr>
            <w:tcW w:type="dxa" w:w="31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正常位置</w:t>
            </w:r>
          </w:p>
        </w:tc>
        <w:tc>
          <w:tcPr>
            <w:tcW w:type="dxa" w:w="40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6"/>
              </w:rPr>
              <w:t>目的</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配置/系统集成或客户项目文件夹</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便携式工厂主站：设备、连接、拓扑、程序、图表、角色、监视器、所有权、安全元数据和布局。</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*.modbussim.bak 或 *.bak</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项目旁边</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最后验证的可恢复保存。保留直到新版本通过测试。</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*.modbustest</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Configuration/SystemIntegration/Examples 或测试文件夹</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测试刺激、阶段、映射、标准和证据策略。</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*.modbuslogic</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工程源/导出文件夹</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可读可编辑的图形交换。它不带有完整的便携式设备/拓扑包。</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*.json 参考定义</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配置/系统集成</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签入模板、兼容性定义和内部清单。</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UserVisualWaterLoopDraft.json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bin/&lt;配置&gt;/&lt;目标&gt;/配置/系统集成</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本地可编辑草稿快照。不是客户交接。</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ActiveVisualWaterLoop.json</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bin/&lt;配置&gt;/&lt;目标&gt;/配置/系统集成</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用于检查/恢复的本地激活定义快照。不是便携式大师。</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*.csv / *.jsonl / result.json / *.md</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工厂测试证据或报告/系统集成</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样本、事件、机器可读结果、可读报告和验证证据。</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6"/>
              </w:rPr>
              <w:t>*.png</w:t>
            </w:r>
          </w:p>
        </w:tc>
        <w:tc>
          <w:tcPr>
            <w:tcW w:type="dxa" w:w="3100"/>
            <w:tcMar>
              <w:top w:w="80" w:type="dxa"/>
              <w:bottom w:w="80" w:type="dxa"/>
              <w:start w:w="120" w:type="dxa"/>
              <w:end w:w="120" w:type="dxa"/>
            </w:tcMar>
            <w:vAlign w:val="center"/>
          </w:tcPr>
          <w:p>
            <w:pPr>
              <w:spacing w:before="0" w:after="0" w:line="259" w:lineRule="auto"/>
              <w:jc w:val="left"/>
            </w:pPr>
            <w:r>
              <w:rPr>
                <w:rFonts w:ascii="Calibri" w:hAnsi="Calibri"/>
                <w:sz w:val="16"/>
              </w:rPr>
              <w:t>报告/系统集成</w:t>
            </w:r>
          </w:p>
        </w:tc>
        <w:tc>
          <w:tcPr>
            <w:tcW w:type="dxa" w:w="4060"/>
            <w:tcMar>
              <w:top w:w="80" w:type="dxa"/>
              <w:bottom w:w="80" w:type="dxa"/>
              <w:start w:w="120" w:type="dxa"/>
              <w:end w:w="120" w:type="dxa"/>
            </w:tcMar>
            <w:vAlign w:val="center"/>
          </w:tcPr>
          <w:p>
            <w:pPr>
              <w:spacing w:before="0" w:after="0" w:line="259" w:lineRule="auto"/>
              <w:jc w:val="left"/>
            </w:pPr>
            <w:r>
              <w:rPr>
                <w:rFonts w:ascii="Calibri" w:hAnsi="Calibri"/>
                <w:sz w:val="16"/>
              </w:rPr>
              <w:t>自动深色/浅色主题或调试屏幕截图用作视觉证据。</w:t>
            </w:r>
          </w:p>
        </w:tc>
      </w:tr>
    </w:tbl>
    <w:p>
      <w:pPr>
        <w:spacing w:after="20"/>
      </w:pPr>
    </w:p>
    <w:p>
      <w:pPr>
        <w:pStyle w:val="Heading2"/>
      </w:pPr>
      <w:r>
        <w:t>Phase 7提供的参考示例</w:t>
      </w:r>
    </w:p>
    <w:p>
      <w:pPr>
        <w:numPr>
          <w:ilvl w:val="0"/>
          <w:numId w:val="10"/>
        </w:numPr>
      </w:pPr>
      <w:r>
        <w:rPr>
          <w:rFonts w:ascii="Calibri" w:hAnsi="Calibri"/>
        </w:rPr>
        <w:t>配置/系统集成/示例/WaterCooled_3xVTX1600_R134a_FlashTank1A.modbussim 及配套 .modbustest</w:t>
      </w:r>
    </w:p>
    <w:p>
      <w:pPr>
        <w:numPr>
          <w:ilvl w:val="0"/>
          <w:numId w:val="10"/>
        </w:numPr>
      </w:pPr>
      <w:r>
        <w:rPr>
          <w:rFonts w:ascii="Calibri" w:hAnsi="Calibri"/>
        </w:rPr>
        <w:t>配置/系统集成/示例/AirCooled_3xVTS350_R134a_PerCompressorHeatExchangers.modbussim 及配套 .modbustest</w:t>
      </w:r>
    </w:p>
    <w:p>
      <w:pPr>
        <w:numPr>
          <w:ilvl w:val="0"/>
          <w:numId w:val="10"/>
        </w:numPr>
      </w:pPr>
      <w:r>
        <w:rPr>
          <w:rFonts w:ascii="Calibri" w:hAnsi="Calibri"/>
        </w:rPr>
        <w:t>配置/系统集成/示例/AirCooled_4xTTS350_R515B_2Circuits_4HeatExchangers.modbussim 及配套 .modbustest</w:t>
      </w:r>
    </w:p>
    <w:p>
      <w:pPr>
        <w:keepLines/>
        <w:spacing w:before="100" w:after="160" w:line="283" w:lineRule="auto"/>
        <w:ind w:left="173" w:right="115"/>
        <w:pBdr>
          <w:left w:val="single" w:sz="20" w:space="8" w:color="2E74B5"/>
        </w:pBdr>
        <w:shd w:fill="F4F6F9" w:val="clear"/>
      </w:pPr>
      <w:r>
        <w:rPr>
          <w:rFonts w:ascii="Calibri" w:hAnsi="Calibri"/>
          <w:b/>
          <w:color w:val="2E74B5"/>
        </w:rPr>
        <w:t xml:space="preserve">命名规则  </w:t>
      </w:r>
      <w:r>
        <w:rPr>
          <w:rFonts w:ascii="Calibri" w:hAnsi="Calibri"/>
        </w:rPr>
        <w:t>使用稳定的描述性词干加上受控修订，例如 Customer_Site_ChillerA_4xTTS350_R515B_v03.modbussim。在发布记录中保留匹配的 .modbustest 主干/修订。</w:t>
      </w:r>
    </w:p>
    <w:p>
      <w:pPr>
        <w:pStyle w:val="Heading1"/>
      </w:pPr>
      <w:r>
        <w:t>12. 准备、开始和验证测试</w:t>
      </w:r>
    </w:p>
    <w:p>
      <w:pPr>
        <w:keepNext/>
        <w:spacing w:after="160"/>
      </w:pPr>
      <w:r>
        <w:rPr>
          <w:rFonts w:ascii="Calibri" w:hAnsi="Calibri"/>
          <w:i/>
          <w:color w:val="0B2545"/>
          <w:sz w:val="22"/>
        </w:rPr>
        <w:t>完整的测试证明映射、顺序、计算、计时、恢复、证据完整性以及不存在不安全的运行时替换。</w:t>
      </w:r>
    </w:p>
    <w:p>
      <w:pPr>
        <w:spacing w:before="100" w:after="160" w:line="283" w:lineRule="auto"/>
        <w:ind w:left="173" w:right="115"/>
        <w:pBdr>
          <w:left w:val="single" w:sz="20" w:space="8" w:color="2E74B5"/>
        </w:pBdr>
        <w:shd w:fill="EEF4FA" w:val="clear"/>
      </w:pPr>
      <w:r>
        <w:rPr>
          <w:rFonts w:ascii="Calibri" w:hAnsi="Calibri"/>
          <w:b/>
          <w:color w:val="2E74B5"/>
        </w:rPr>
        <w:t xml:space="preserve">跑门  </w:t>
      </w:r>
      <w:r>
        <w:rPr>
          <w:rFonts w:ascii="Calibri" w:hAnsi="Calibri"/>
        </w:rPr>
        <w:t>在预期的便携式项目处于活动状态、计划预检通过、通信在线、关键点质量良好且手动通道方向检查完成之前，请勿选择开始工厂测试。</w:t>
      </w:r>
    </w:p>
    <w:p>
      <w:pPr>
        <w:keepNext/>
        <w:spacing w:before="80" w:after="0"/>
        <w:jc w:val="center"/>
      </w:pPr>
      <w:r>
        <w:drawing>
          <wp:inline xmlns:a="http://schemas.openxmlformats.org/drawingml/2006/main" xmlns:pic="http://schemas.openxmlformats.org/drawingml/2006/picture">
            <wp:extent cx="5806440" cy="3638702"/>
            <wp:docPr id="8" name="Picture 8" descr="Dark-theme Plant Test workspace showing plant design, point mappings, phases, acceptance criteria, and run controls."/>
            <wp:cNvGraphicFramePr>
              <a:graphicFrameLocks noChangeAspect="1"/>
            </wp:cNvGraphicFramePr>
            <a:graphic>
              <a:graphicData uri="http://schemas.openxmlformats.org/drawingml/2006/picture">
                <pic:pic>
                  <pic:nvPicPr>
                    <pic:cNvPr id="0" name="PlantTestValidation_20260719_workspace_dark.png"/>
                    <pic:cNvPicPr/>
                  </pic:nvPicPr>
                  <pic:blipFill>
                    <a:blip r:embed="rId20"/>
                    <a:stretch>
                      <a:fillRect/>
                    </a:stretch>
                  </pic:blipFill>
                  <pic:spPr>
                    <a:xfrm>
                      <a:off x="0" y="0"/>
                      <a:ext cx="5806440" cy="3638702"/>
                    </a:xfrm>
                    <a:prstGeom prst="rect"/>
                  </pic:spPr>
                </pic:pic>
              </a:graphicData>
            </a:graphic>
          </wp:inline>
        </w:drawing>
      </w:r>
    </w:p>
    <w:p>
      <w:pPr>
        <w:pStyle w:val="GuideCaption"/>
        <w:keepNext w:val="0"/>
      </w:pPr>
      <w:r>
        <w:t>图 8. 工厂测试将计划设计、主动运行、验收结果和持久证据分开。</w:t>
      </w:r>
    </w:p>
    <w:p>
      <w:pPr>
        <w:pStyle w:val="Heading2"/>
      </w:pPr>
      <w:r>
        <w:t>准备</w:t>
      </w:r>
    </w:p>
    <w:p>
      <w:pPr>
        <w:numPr>
          <w:ilvl w:val="0"/>
          <w:numId w:val="10"/>
        </w:numPr>
      </w:pPr>
      <w:r>
        <w:rPr>
          <w:rFonts w:ascii="Calibri" w:hAnsi="Calibri"/>
        </w:rPr>
        <w:t>使用经批准的 .modbussim 版本和匹配的 .modbustest。</w:t>
      </w:r>
    </w:p>
    <w:p>
      <w:pPr>
        <w:numPr>
          <w:ilvl w:val="0"/>
          <w:numId w:val="10"/>
        </w:numPr>
      </w:pPr>
      <w:r>
        <w:rPr>
          <w:rFonts w:ascii="Calibri" w:hAnsi="Calibri"/>
        </w:rPr>
        <w:t>验证压缩机身份、电路/节能器分配、物理 I/O 计划、端点图、单元 ID、额定容量、流量、温度设计值、延迟和验收限制。</w:t>
      </w:r>
    </w:p>
    <w:p>
      <w:pPr>
        <w:numPr>
          <w:ilvl w:val="0"/>
          <w:numId w:val="10"/>
        </w:numPr>
      </w:pPr>
      <w:r>
        <w:rPr>
          <w:rFonts w:ascii="Calibri" w:hAnsi="Calibri"/>
        </w:rPr>
        <w:t>编译、检查/激活和运行。确认关键点良好并且通讯处于在线状态。</w:t>
      </w:r>
    </w:p>
    <w:p>
      <w:pPr>
        <w:numPr>
          <w:ilvl w:val="0"/>
          <w:numId w:val="10"/>
        </w:numPr>
      </w:pPr>
      <w:r>
        <w:rPr>
          <w:rFonts w:ascii="Calibri" w:hAnsi="Calibri"/>
        </w:rPr>
        <w:t>验证测试计划。解决项目/签名不匹配、缺失点映射、所有权冲突、不受支持的标准和证据路径错误。</w:t>
      </w:r>
    </w:p>
    <w:p>
      <w:pPr>
        <w:numPr>
          <w:ilvl w:val="0"/>
          <w:numId w:val="10"/>
        </w:numPr>
      </w:pPr>
      <w:r>
        <w:rPr>
          <w:rFonts w:ascii="Calibri" w:hAnsi="Calibri"/>
        </w:rPr>
        <w:t>从安全/关闭命令开始；删除调试覆盖；防止 Windows 休眠以进行无人值守测试。</w:t>
      </w:r>
    </w:p>
    <w:p>
      <w:pPr>
        <w:pStyle w:val="Heading2"/>
      </w:pPr>
      <w:r>
        <w:t>参考测试逻辑</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2200"/>
        <w:gridCol w:w="49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阶段</w:t>
            </w:r>
          </w:p>
        </w:tc>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典型刺激</w:t>
            </w:r>
          </w:p>
        </w:tc>
        <w:tc>
          <w:tcPr>
            <w:tcW w:type="dxa" w:w="49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初步验证</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启动及证明</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启用 true，0% 负载</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阀门/泵/流量/就绪命令、TON 重置、就绪期限。</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低负载斜坡</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0 -&gt; 25%</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第一压缩机/节能器响应，流量稳定，无所有权或质量故障。</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中等负载保持</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50%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容量总和、回路质量流量、水回路响应、节能器调节。</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设计负载保持</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满容量、出水目标、预期水位/过热度带、响应时间和超调。</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卸载/恢复</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100 -&gt; 20%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稳定的卸载，无闩锁/颤动，恢复到带内。</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关机</w:t>
            </w:r>
          </w:p>
        </w:tc>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启用假，0%</w:t>
            </w:r>
          </w:p>
        </w:tc>
        <w:tc>
          <w:tcPr>
            <w:tcW w:type="dxa" w:w="4960"/>
            <w:tcMar>
              <w:top w:w="80" w:type="dxa"/>
              <w:bottom w:w="80" w:type="dxa"/>
              <w:start w:w="120" w:type="dxa"/>
              <w:end w:w="120" w:type="dxa"/>
            </w:tcMar>
            <w:vAlign w:val="center"/>
          </w:tcPr>
          <w:p>
            <w:pPr>
              <w:spacing w:before="0" w:after="0" w:line="259" w:lineRule="auto"/>
              <w:jc w:val="left"/>
            </w:pPr>
            <w:r>
              <w:rPr>
                <w:rFonts w:ascii="Calibri" w:hAnsi="Calibri"/>
                <w:sz w:val="17"/>
              </w:rPr>
              <w:t>输出和校样按预期顺序重置；计时器和动态安全返回。</w:t>
            </w:r>
          </w:p>
        </w:tc>
      </w:tr>
    </w:tbl>
    <w:p>
      <w:pPr>
        <w:spacing w:after="20"/>
      </w:pPr>
    </w:p>
    <w:p>
      <w:pPr>
        <w:pStyle w:val="Heading2"/>
      </w:pPr>
      <w:r>
        <w:t>自动化前的手动预测试</w:t>
      </w:r>
    </w:p>
    <w:p>
      <w:pPr>
        <w:numPr>
          <w:ilvl w:val="0"/>
          <w:numId w:val="16"/>
        </w:numPr>
      </w:pPr>
      <w:r>
        <w:rPr>
          <w:rFonts w:ascii="Calibri" w:hAnsi="Calibri"/>
        </w:rPr>
        <w:t>切换一个映射的启用输入并确认逻辑角色更改一次。</w:t>
      </w:r>
    </w:p>
    <w:p>
      <w:pPr>
        <w:numPr>
          <w:ilvl w:val="0"/>
          <w:numId w:val="16"/>
        </w:numPr>
      </w:pPr>
      <w:r>
        <w:rPr>
          <w:rFonts w:ascii="Calibri" w:hAnsi="Calibri"/>
        </w:rPr>
        <w:t>单独执行泵/阀门/电磁阀命令并验证预期的 DI/AI/TI 反馈方向。</w:t>
      </w:r>
    </w:p>
    <w:p>
      <w:pPr>
        <w:numPr>
          <w:ilvl w:val="0"/>
          <w:numId w:val="16"/>
        </w:numPr>
      </w:pPr>
      <w:r>
        <w:rPr>
          <w:rFonts w:ascii="Calibri" w:hAnsi="Calibri"/>
        </w:rPr>
        <w:t>在 TON 到期之前中断命令并验证经过的时间和证明重置。</w:t>
      </w:r>
    </w:p>
    <w:p>
      <w:pPr>
        <w:numPr>
          <w:ilvl w:val="0"/>
          <w:numId w:val="16"/>
        </w:numPr>
      </w:pPr>
      <w:r>
        <w:rPr>
          <w:rFonts w:ascii="Calibri" w:hAnsi="Calibri"/>
        </w:rPr>
        <w:t>在低需求下运行一台压缩机并验证其容量贡献、分配的回路总和以及节能器实例。</w:t>
      </w:r>
    </w:p>
    <w:p>
      <w:pPr>
        <w:numPr>
          <w:ilvl w:val="0"/>
          <w:numId w:val="16"/>
        </w:numPr>
      </w:pPr>
      <w:r>
        <w:rPr>
          <w:rFonts w:ascii="Calibri" w:hAnsi="Calibri"/>
        </w:rPr>
        <w:t>在运行多压缩机阶段之前，对每个压缩机和每个 I/O 模块实例重复此操作。</w:t>
      </w:r>
    </w:p>
    <w:p>
      <w:pPr>
        <w:numPr>
          <w:ilvl w:val="0"/>
          <w:numId w:val="16"/>
        </w:numPr>
      </w:pPr>
      <w:r>
        <w:rPr>
          <w:rFonts w:ascii="Calibri" w:hAnsi="Calibri"/>
        </w:rPr>
        <w:t>引入一种安全证明/流量损失并验证准备情况、贡献门控、质量和报告事件。</w:t>
      </w:r>
    </w:p>
    <w:p>
      <w:pPr>
        <w:pStyle w:val="Heading2"/>
      </w:pPr>
      <w:r>
        <w:t>验证并报告</w:t>
      </w:r>
    </w:p>
    <w:p>
      <w:pPr>
        <w:numPr>
          <w:ilvl w:val="0"/>
          <w:numId w:val="10"/>
        </w:numPr>
      </w:pPr>
      <w:r>
        <w:rPr>
          <w:rFonts w:ascii="Calibri" w:hAnsi="Calibri"/>
        </w:rPr>
        <w:t>检查每个失败和观察标准的稳定时间和所需的通过百分比。</w:t>
      </w:r>
    </w:p>
    <w:p>
      <w:pPr>
        <w:numPr>
          <w:ilvl w:val="0"/>
          <w:numId w:val="10"/>
        </w:numPr>
      </w:pPr>
      <w:r>
        <w:rPr>
          <w:rFonts w:ascii="Calibri" w:hAnsi="Calibri"/>
        </w:rPr>
        <w:t>将工厂测试样本与信号逻辑跟踪和控制质量监视器时序通道相关联。</w:t>
      </w:r>
    </w:p>
    <w:p>
      <w:pPr>
        <w:numPr>
          <w:ilvl w:val="0"/>
          <w:numId w:val="10"/>
        </w:numPr>
      </w:pPr>
      <w:r>
        <w:rPr>
          <w:rFonts w:ascii="Calibri" w:hAnsi="Calibri"/>
        </w:rPr>
        <w:t>确认没有失败的运行周期、计划外的过时/无效间隔、所有权冲突或端点重新连接循环。</w:t>
      </w:r>
    </w:p>
    <w:p>
      <w:pPr>
        <w:numPr>
          <w:ilvl w:val="0"/>
          <w:numId w:val="10"/>
        </w:numPr>
      </w:pPr>
      <w:r>
        <w:rPr>
          <w:rFonts w:ascii="Calibri" w:hAnsi="Calibri"/>
        </w:rPr>
        <w:t>保留plan.modbustest、samples.csv、events.jsonl、result.json、可读报告、监控导出、应用程序版本、控制器版本、活动项目签名和屏幕截图。</w:t>
      </w:r>
    </w:p>
    <w:p>
      <w:pPr>
        <w:numPr>
          <w:ilvl w:val="0"/>
          <w:numId w:val="10"/>
        </w:numPr>
      </w:pPr>
      <w:r>
        <w:rPr>
          <w:rFonts w:ascii="Calibri" w:hAnsi="Calibri"/>
        </w:rPr>
        <w:t>明确指出偏差。只有当另一位工程师能够识别准确的项目、计划、I/O 映射、运行时签名、条件、结果和未解决的限制时，测试报告才是高质量的。</w:t>
      </w:r>
    </w:p>
    <w:p>
      <w:pPr>
        <w:pStyle w:val="Heading1"/>
      </w:pPr>
      <w:r>
        <w:t>13. 常见命令和配置错误</w:t>
      </w:r>
    </w:p>
    <w:p>
      <w:pPr>
        <w:keepNext/>
        <w:spacing w:after="160"/>
      </w:pPr>
      <w:r>
        <w:rPr>
          <w:rFonts w:ascii="Calibri" w:hAnsi="Calibri"/>
          <w:i/>
          <w:color w:val="0B2545"/>
          <w:sz w:val="22"/>
        </w:rPr>
        <w:t>大多数调试问题是由于在错误的生命周期阶段执行正确的操作或将正确的工程角色分配给错误的物理方向而引起的。</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050"/>
        <w:gridCol w:w="3450"/>
        <w:gridCol w:w="3860"/>
      </w:tblGrid>
      <w:tr>
        <w:trPr>
          <w:trHeight w:hRule="atLeast"/>
          <w:tblHeader w:val="true"/>
          <w:cantSplit/>
        </w:trPr>
        <w:tc>
          <w:tcPr>
            <w:tcW w:type="dxa" w:w="20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症状</w:t>
            </w:r>
          </w:p>
        </w:tc>
        <w:tc>
          <w:tcPr>
            <w:tcW w:type="dxa" w:w="3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可能订单错误</w:t>
            </w:r>
          </w:p>
        </w:tc>
        <w:tc>
          <w:tcPr>
            <w:tcW w:type="dxa" w:w="38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5"/>
              </w:rPr>
              <w:t>修正</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向导显示旧压缩机数量/型号</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向导打开后，实时系统发生了变化。</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正确的实时系统，然后在应用拓扑之前从实时系统同步。</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相同的压缩机表现出不同的行为模式</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一行使用后备或不同的身份/表源。</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在 Live System 中对齐模型、制冷剂、变量和行为源。</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拓扑返回两个默认压缩器</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已编译旧草案/参考或未应用新拓扑。</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应用拓扑，确认生成的压缩机模块，然后编译当前草案。</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热交换器信号共享</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仅考虑电路默认值。</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打开每个压缩机的热交换器膨胀机并分配唯一的 I/O。</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不必要地出现泵逻辑</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仅防水设备选择使用泵启用。</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清除使用泵启用；保留数字/模拟/组合水确认。</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命令向后读</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DI/DO 命名是从控制器而不是 I/O 模块的角度解释的。</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重新检查输入与输出方向和物理时间表。</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编译拒绝输出冲突</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两个角色发布相同的物理 DI/AI/TI 或原始输出。</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分配唯一点或禁用可选发布。</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应用拓扑改变画布但不改变行为</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预期行为：仅更改草稿。</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编译、审查、激活，然后运行。</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已保存项目但实时系统未更改</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保存被误认为激活。</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查看/激活当前编译的修订版。</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编辑后激活被拒绝</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草稿修订版/指纹在编译或审核后发生更改。</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再次编译并查看新签名。</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定时器永远不会前进</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计划未执行、命令错误/喋喋不休、要点错误或质量陈旧。</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跟踪计时器输入/延迟并检查每个先决条件的质量。</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工厂测试不会开始</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没有有效的匹配项目/签名、无效映射或刺激所有权冲突。</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激活正确的计划并重新运行测试预检。</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监听范围编辑未调整控制</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监视器证据被误认为是可执行配置。</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更改拓扑/图形设置、编译并激活。</w:t>
            </w:r>
          </w:p>
        </w:tc>
      </w:tr>
      <w:tr>
        <w:trPr>
          <w:trHeight w:hRule="atLeast"/>
          <w:cantSplit/>
        </w:trPr>
        <w:tc>
          <w:tcPr>
            <w:tcW w:type="dxa" w:w="2050"/>
            <w:tcMar>
              <w:top w:w="80" w:type="dxa"/>
              <w:bottom w:w="80" w:type="dxa"/>
              <w:start w:w="120" w:type="dxa"/>
              <w:end w:w="120" w:type="dxa"/>
            </w:tcMar>
            <w:vAlign w:val="center"/>
          </w:tcPr>
          <w:p>
            <w:pPr>
              <w:spacing w:before="0" w:after="0" w:line="259" w:lineRule="auto"/>
              <w:jc w:val="left"/>
            </w:pPr>
            <w:r>
              <w:rPr>
                <w:rFonts w:ascii="Calibri" w:hAnsi="Calibri"/>
                <w:sz w:val="15"/>
              </w:rPr>
              <w:t>控制器连接到错误的设备</w:t>
            </w:r>
          </w:p>
        </w:tc>
        <w:tc>
          <w:tcPr>
            <w:tcW w:type="dxa" w:w="3450"/>
            <w:tcMar>
              <w:top w:w="80" w:type="dxa"/>
              <w:bottom w:w="80" w:type="dxa"/>
              <w:start w:w="120" w:type="dxa"/>
              <w:end w:w="120" w:type="dxa"/>
            </w:tcMar>
            <w:vAlign w:val="center"/>
          </w:tcPr>
          <w:p>
            <w:pPr>
              <w:spacing w:before="0" w:after="0" w:line="259" w:lineRule="auto"/>
              <w:jc w:val="left"/>
            </w:pPr>
            <w:r>
              <w:rPr>
                <w:rFonts w:ascii="Calibri" w:hAnsi="Calibri"/>
                <w:sz w:val="15"/>
              </w:rPr>
              <w:t>通信在端点/Unit-ID 审核之前开始。</w:t>
            </w:r>
          </w:p>
        </w:tc>
        <w:tc>
          <w:tcPr>
            <w:tcW w:type="dxa" w:w="3860"/>
            <w:tcMar>
              <w:top w:w="80" w:type="dxa"/>
              <w:bottom w:w="80" w:type="dxa"/>
              <w:start w:w="120" w:type="dxa"/>
              <w:end w:w="120" w:type="dxa"/>
            </w:tcMar>
            <w:vAlign w:val="center"/>
          </w:tcPr>
          <w:p>
            <w:pPr>
              <w:spacing w:before="0" w:after="0" w:line="259" w:lineRule="auto"/>
              <w:jc w:val="left"/>
            </w:pPr>
            <w:r>
              <w:rPr>
                <w:rFonts w:ascii="Calibri" w:hAnsi="Calibri"/>
                <w:sz w:val="15"/>
              </w:rPr>
              <w:t>停止客户端，更正唯一映射，重新启动服务器，按顺序重新连接。</w:t>
            </w:r>
          </w:p>
        </w:tc>
      </w:tr>
    </w:tbl>
    <w:p>
      <w:pPr>
        <w:spacing w:after="20"/>
      </w:pPr>
    </w:p>
    <w:p>
      <w:pPr>
        <w:pStyle w:val="Heading1"/>
      </w:pPr>
      <w:r>
        <w:t>14. 移植工厂计划以供客户支持</w:t>
      </w:r>
    </w:p>
    <w:p>
      <w:pPr>
        <w:keepNext/>
        <w:spacing w:after="160"/>
      </w:pPr>
      <w:r>
        <w:rPr>
          <w:rFonts w:ascii="Calibri" w:hAnsi="Calibri"/>
          <w:i/>
          <w:color w:val="0B2545"/>
          <w:sz w:val="22"/>
        </w:rPr>
        <w:t>支持切换必须重现工厂标识、物理绑定、活动逻辑候选、测试条件和观察到的故障，而不依赖于本地草稿文件。</w:t>
      </w:r>
    </w:p>
    <w:p>
      <w:pPr>
        <w:pStyle w:val="Heading2"/>
      </w:pPr>
      <w:r>
        <w:t>客户到支持数据包</w:t>
      </w:r>
    </w:p>
    <w:p>
      <w:pPr>
        <w:numPr>
          <w:ilvl w:val="0"/>
          <w:numId w:val="17"/>
        </w:numPr>
      </w:pPr>
      <w:r>
        <w:rPr>
          <w:rFonts w:ascii="Calibri" w:hAnsi="Calibri"/>
        </w:rPr>
        <w:t>安全停止工厂测试并删除启用/调试覆盖。记录活动项目签名和应用程序版本。</w:t>
      </w:r>
    </w:p>
    <w:p>
      <w:pPr>
        <w:numPr>
          <w:ilvl w:val="0"/>
          <w:numId w:val="17"/>
        </w:numPr>
      </w:pPr>
      <w:r>
        <w:rPr>
          <w:rFonts w:ascii="Calibri" w:hAnsi="Calibri"/>
        </w:rPr>
        <w:t>选择将项目保存到版本化的 .modbussim 文件。保留其 .bak。</w:t>
      </w:r>
    </w:p>
    <w:p>
      <w:pPr>
        <w:numPr>
          <w:ilvl w:val="0"/>
          <w:numId w:val="17"/>
        </w:numPr>
      </w:pPr>
      <w:r>
        <w:rPr>
          <w:rFonts w:ascii="Calibri" w:hAnsi="Calibri"/>
        </w:rPr>
        <w:t>保存所使用的确切 .modbustest 计划。仅当需要可读图形审查或源代码级编辑时才导出 .modbuslogic。</w:t>
      </w:r>
    </w:p>
    <w:p>
      <w:pPr>
        <w:numPr>
          <w:ilvl w:val="0"/>
          <w:numId w:val="17"/>
        </w:numPr>
      </w:pPr>
      <w:r>
        <w:rPr>
          <w:rFonts w:ascii="Calibri" w:hAnsi="Calibri"/>
        </w:rPr>
        <w:t>导出工厂测试结果/证据和控制质量监控报告；包括故障逻辑视图和物理 I/O 映射的屏幕截图。</w:t>
      </w:r>
    </w:p>
    <w:p>
      <w:pPr>
        <w:numPr>
          <w:ilvl w:val="0"/>
          <w:numId w:val="17"/>
        </w:numPr>
      </w:pPr>
      <w:r>
        <w:rPr>
          <w:rFonts w:ascii="Calibri" w:hAnsi="Calibri"/>
        </w:rPr>
        <w:t>包括简单的 I/O 调度：设备稳定 ID、型号、端点、单元 ID、物理通道、逻辑角色、电气方向、范围/单元、正常状态和所有者。</w:t>
      </w:r>
    </w:p>
    <w:p>
      <w:pPr>
        <w:numPr>
          <w:ilvl w:val="0"/>
          <w:numId w:val="17"/>
        </w:numPr>
      </w:pPr>
      <w:r>
        <w:rPr>
          <w:rFonts w:ascii="Calibri" w:hAnsi="Calibri"/>
        </w:rPr>
        <w:t>包括控制器软件版本、场景、预期行为、实际行为、首次失败时间戳以及重现步骤。</w:t>
      </w:r>
    </w:p>
    <w:p>
      <w:pPr>
        <w:numPr>
          <w:ilvl w:val="0"/>
          <w:numId w:val="17"/>
        </w:numPr>
      </w:pPr>
      <w:r>
        <w:rPr>
          <w:rFonts w:ascii="Calibri" w:hAnsi="Calibri"/>
        </w:rPr>
        <w:t>根据政策要求，清理客户 IP 地址、序列详细信息、姓名或其他站点数据；不要删除复制所需的稳定设备/点标识。</w:t>
      </w:r>
    </w:p>
    <w:p>
      <w:pPr>
        <w:pStyle w:val="Heading2"/>
      </w:pPr>
      <w:r>
        <w:t>支持审核和退货</w:t>
      </w:r>
    </w:p>
    <w:p>
      <w:pPr>
        <w:numPr>
          <w:ilvl w:val="0"/>
          <w:numId w:val="10"/>
        </w:numPr>
      </w:pPr>
      <w:r>
        <w:rPr>
          <w:rFonts w:ascii="Calibri" w:hAnsi="Calibri"/>
        </w:rPr>
        <w:t>将收到的项目作为已编译的草稿打开。打开或迁移不得取代支持工作站的活动计划。</w:t>
      </w:r>
    </w:p>
    <w:p>
      <w:pPr>
        <w:numPr>
          <w:ilvl w:val="0"/>
          <w:numId w:val="10"/>
        </w:numPr>
      </w:pPr>
      <w:r>
        <w:rPr>
          <w:rFonts w:ascii="Calibri" w:hAnsi="Calibri"/>
        </w:rPr>
        <w:t>查看包诊断、迁移消息、安全指纹、连接图、输出声明、拓扑和每个压缩机节能器分配。</w:t>
      </w:r>
    </w:p>
    <w:p>
      <w:pPr>
        <w:numPr>
          <w:ilvl w:val="0"/>
          <w:numId w:val="10"/>
        </w:numPr>
      </w:pPr>
      <w:r>
        <w:rPr>
          <w:rFonts w:ascii="Calibri" w:hAnsi="Calibri"/>
        </w:rPr>
        <w:t>针对隔离的模拟器配置运行匹配的 .modbustest 并将其证据与客户报告进行比较。</w:t>
      </w:r>
    </w:p>
    <w:p>
      <w:pPr>
        <w:numPr>
          <w:ilvl w:val="0"/>
          <w:numId w:val="10"/>
        </w:numPr>
      </w:pPr>
      <w:r>
        <w:rPr>
          <w:rFonts w:ascii="Calibri" w:hAnsi="Calibri"/>
        </w:rPr>
        <w:t>返回新修订的.modbussim和匹配的.modbustest；不要覆盖客户接受的基线。</w:t>
      </w:r>
    </w:p>
    <w:p>
      <w:pPr>
        <w:numPr>
          <w:ilvl w:val="0"/>
          <w:numId w:val="10"/>
        </w:numPr>
      </w:pPr>
      <w:r>
        <w:rPr>
          <w:rFonts w:ascii="Calibri" w:hAnsi="Calibri"/>
        </w:rPr>
        <w:t>客户必须在接受之前检查本地端点和物理映射、编译、显式激活、运行干测试并完成回归。</w:t>
      </w:r>
    </w:p>
    <w:p>
      <w:pPr>
        <w:keepLines/>
        <w:spacing w:before="100" w:after="160" w:line="283" w:lineRule="auto"/>
        <w:ind w:left="173" w:right="115"/>
        <w:pBdr>
          <w:left w:val="single" w:sz="20" w:space="8" w:color="9B1C1C"/>
        </w:pBdr>
        <w:shd w:fill="FFF3F3" w:val="clear"/>
      </w:pPr>
      <w:r>
        <w:rPr>
          <w:rFonts w:ascii="Calibri" w:hAnsi="Calibri"/>
          <w:b/>
          <w:color w:val="9B1C1C"/>
        </w:rPr>
        <w:t xml:space="preserve">不要只发送 ActiveVisualWaterLoop.json  </w:t>
      </w:r>
      <w:r>
        <w:rPr>
          <w:rFonts w:ascii="Calibri" w:hAnsi="Calibri"/>
        </w:rPr>
        <w:t>该本地快照不是完整便携式项目。支持时请提供 .modbussim；它包含完整配置和激活规则。</w:t>
      </w:r>
    </w:p>
    <w:p>
      <w:pPr>
        <w:pageBreakBefore/>
        <w:pStyle w:val="Heading1"/>
      </w:pPr>
      <w:r>
        <w:t>15、参考示例1——水冷闪蒸罐</w:t>
      </w:r>
    </w:p>
    <w:p>
      <w:pPr>
        <w:keepNext/>
        <w:spacing w:after="160"/>
      </w:pPr>
      <w:r>
        <w:rPr>
          <w:rFonts w:ascii="Calibri" w:hAnsi="Calibri"/>
          <w:i/>
          <w:color w:val="0B2545"/>
          <w:sz w:val="22"/>
        </w:rPr>
        <w:t>一套电路，三台 VTX1600 压缩机、R134a 和一台电路共享的 1A 闪蒸罐节能器。</w:t>
      </w:r>
    </w:p>
    <w:p>
      <w:pPr>
        <w:keepNext/>
        <w:spacing w:before="80" w:after="0"/>
        <w:jc w:val="center"/>
      </w:pPr>
      <w:r>
        <w:drawing>
          <wp:inline xmlns:a="http://schemas.openxmlformats.org/drawingml/2006/main" xmlns:pic="http://schemas.openxmlformats.org/drawingml/2006/picture">
            <wp:extent cx="5806440" cy="3556444"/>
            <wp:docPr id="9" name="Picture 9" descr="Dark-theme water-cooled reference plant configuration with three VTX1600 R134a compressors, one circuit, Flash Tank 1A, and water confirmation."/>
            <wp:cNvGraphicFramePr>
              <a:graphicFrameLocks noChangeAspect="1"/>
            </wp:cNvGraphicFramePr>
            <a:graphic>
              <a:graphicData uri="http://schemas.openxmlformats.org/drawingml/2006/picture">
                <pic:pic>
                  <pic:nvPicPr>
                    <pic:cNvPr id="0" name="SystemIntegrationProjectPackageValidation_20260723_Phase7_Example1_WaterCooledFlashTank.png"/>
                    <pic:cNvPicPr/>
                  </pic:nvPicPr>
                  <pic:blipFill>
                    <a:blip r:embed="rId21"/>
                    <a:stretch>
                      <a:fillRect/>
                    </a:stretch>
                  </pic:blipFill>
                  <pic:spPr>
                    <a:xfrm>
                      <a:off x="0" y="0"/>
                      <a:ext cx="5806440" cy="3556444"/>
                    </a:xfrm>
                    <a:prstGeom prst="rect"/>
                  </pic:spPr>
                </pic:pic>
              </a:graphicData>
            </a:graphic>
          </wp:inline>
        </w:drawing>
      </w:r>
    </w:p>
    <w:p>
      <w:pPr>
        <w:pStyle w:val="GuideCaption"/>
        <w:keepNext w:val="0"/>
      </w:pPr>
      <w:r>
        <w:t>图 9. 示例 1 配置工厂视图：三台 VTX1600 压缩机共享电路 1 和闪蒸罐 1A。</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项目</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参考设置</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便携式文件</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WaterCooled_3xVTX1600_R134a_FlashTank1A.modbussim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压缩机</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C1-C3：VTX1600、R134a，选定型号，电路 1，节能器 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省煤器</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电路1A闪蒸罐； AO-1阀门指令； AI-4级；设计质量流量 24 kg/s；水平带 20-80%；响应20秒</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用水确认</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合并；启用DI-1；无泵启用依赖性；数字证明DI-2；模拟流量AI-1；准备好DI-3；证明TON 3s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水设计</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4,800 kW 满载； 138 kg/s蒸发器流量；模拟满量程 150 kg/s；最小流量 20 kg/s</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监控焦点</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三个贡献-&gt;电路1总和-&gt;工厂总和；闪蒸阀、液位目标/响应、防水、进水/出水。</w:t>
            </w:r>
          </w:p>
        </w:tc>
      </w:tr>
    </w:tbl>
    <w:p>
      <w:pPr>
        <w:spacing w:after="20"/>
      </w:pPr>
    </w:p>
    <w:p>
      <w:pPr>
        <w:pStyle w:val="Heading2"/>
      </w:pPr>
      <w:r>
        <w:t>例1 测试重点</w:t>
      </w:r>
    </w:p>
    <w:p>
      <w:pPr>
        <w:numPr>
          <w:ilvl w:val="0"/>
          <w:numId w:val="10"/>
        </w:numPr>
      </w:pPr>
      <w:r>
        <w:rPr>
          <w:rFonts w:ascii="Calibri" w:hAnsi="Calibri"/>
        </w:rPr>
        <w:t>独立证明 DI 和 AI 条件，然后一起证明；在 3 秒 TON 到期之前中断。</w:t>
      </w:r>
    </w:p>
    <w:p>
      <w:pPr>
        <w:numPr>
          <w:ilvl w:val="0"/>
          <w:numId w:val="10"/>
        </w:numPr>
      </w:pPr>
      <w:r>
        <w:rPr>
          <w:rFonts w:ascii="Calibri" w:hAnsi="Calibri"/>
        </w:rPr>
        <w:t>单独运行每台压缩机并验证同一共享闪蒸罐使用正确的回路 1 质量流量总和。</w:t>
      </w:r>
    </w:p>
    <w:p>
      <w:pPr>
        <w:numPr>
          <w:ilvl w:val="0"/>
          <w:numId w:val="10"/>
        </w:numPr>
      </w:pPr>
      <w:r>
        <w:rPr>
          <w:rFonts w:ascii="Calibri" w:hAnsi="Calibri"/>
        </w:rPr>
        <w:t>从低到设计负载并验证稳定后电平是否保持在配置的范围内。</w:t>
      </w:r>
    </w:p>
    <w:p>
      <w:pPr>
        <w:numPr>
          <w:ilvl w:val="0"/>
          <w:numId w:val="10"/>
        </w:numPr>
      </w:pPr>
      <w:r>
        <w:rPr>
          <w:rFonts w:ascii="Calibri" w:hAnsi="Calibri"/>
        </w:rPr>
        <w:t>确认水冷 .modbustest 计划中仍启用冷凝水标准。</w:t>
      </w:r>
    </w:p>
    <w:p>
      <w:pPr>
        <w:pStyle w:val="Heading1"/>
      </w:pPr>
      <w:r>
        <w:t>16.参考示例2-风冷式压缩机热交换器</w:t>
      </w:r>
    </w:p>
    <w:p>
      <w:pPr>
        <w:keepNext/>
        <w:spacing w:after="160"/>
      </w:pPr>
      <w:r>
        <w:rPr>
          <w:rFonts w:ascii="Calibri" w:hAnsi="Calibri"/>
          <w:i/>
          <w:color w:val="0B2545"/>
          <w:sz w:val="22"/>
        </w:rPr>
        <w:t>一个回路，三台VTS350压缩机，R134a，每台压缩机配备一台独立分配的热交换器省煤器。</w:t>
      </w:r>
    </w:p>
    <w:p>
      <w:pPr>
        <w:keepNext/>
        <w:spacing w:before="80" w:after="0"/>
        <w:jc w:val="center"/>
      </w:pPr>
      <w:r>
        <w:drawing>
          <wp:inline xmlns:a="http://schemas.openxmlformats.org/drawingml/2006/main" xmlns:pic="http://schemas.openxmlformats.org/drawingml/2006/picture">
            <wp:extent cx="5806440" cy="3556444"/>
            <wp:docPr id="10" name="Picture 10" descr="Dark-theme air-cooled plant configuration with three VTS350 R134a compressors, one circuit, three Heat Exchanger 1A instances, and per-compressor I/O."/>
            <wp:cNvGraphicFramePr>
              <a:graphicFrameLocks noChangeAspect="1"/>
            </wp:cNvGraphicFramePr>
            <a:graphic>
              <a:graphicData uri="http://schemas.openxmlformats.org/drawingml/2006/picture">
                <pic:pic>
                  <pic:nvPicPr>
                    <pic:cNvPr id="0" name="SystemIntegrationProjectPackageValidation_20260723_Phase7_Example2_PerCompressorHeatExchangers.png"/>
                    <pic:cNvPicPr/>
                  </pic:nvPicPr>
                  <pic:blipFill>
                    <a:blip r:embed="rId22"/>
                    <a:stretch>
                      <a:fillRect/>
                    </a:stretch>
                  </pic:blipFill>
                  <pic:spPr>
                    <a:xfrm>
                      <a:off x="0" y="0"/>
                      <a:ext cx="5806440" cy="3556444"/>
                    </a:xfrm>
                    <a:prstGeom prst="rect"/>
                  </pic:spPr>
                </pic:pic>
              </a:graphicData>
            </a:graphic>
          </wp:inline>
        </w:drawing>
      </w:r>
    </w:p>
    <w:p>
      <w:pPr>
        <w:pStyle w:val="GuideCaption"/>
        <w:keepNext w:val="0"/>
      </w:pPr>
      <w:r>
        <w:t>图 10. 示例 2 显示了每个压缩机的热交换器部分和独特的通道分配。</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700"/>
        <w:gridCol w:w="3350"/>
        <w:gridCol w:w="4310"/>
      </w:tblGrid>
      <w:tr>
        <w:trPr>
          <w:trHeight w:hRule="atLeast"/>
          <w:tblHeader w:val="true"/>
          <w:cantSplit/>
        </w:trPr>
        <w:tc>
          <w:tcPr>
            <w:tcW w:type="dxa" w:w="17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压缩机</w:t>
            </w:r>
          </w:p>
        </w:tc>
        <w:tc>
          <w:tcPr>
            <w:tcW w:type="dxa" w:w="33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步进器/可选电磁阀</w:t>
            </w:r>
          </w:p>
        </w:tc>
        <w:tc>
          <w:tcPr>
            <w:tcW w:type="dxa" w:w="43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工程出版物</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AO-1; DO-1电磁铁； DI-4 延迟阀门证明，5 s</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压力AI-1；命名为级间 TI；过热度 AI-2</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AO-2;无电磁阀</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压力AI-3；命名为级间 TI；过热度 AI-4</w:t>
            </w:r>
          </w:p>
        </w:tc>
      </w:tr>
      <w:tr>
        <w:trPr>
          <w:trHeight w:hRule="atLeast"/>
          <w:cantSplit/>
        </w:trPr>
        <w:tc>
          <w:tcPr>
            <w:tcW w:type="dxa" w:w="170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3350"/>
            <w:tcMar>
              <w:top w:w="80" w:type="dxa"/>
              <w:bottom w:w="80" w:type="dxa"/>
              <w:start w:w="120" w:type="dxa"/>
              <w:end w:w="120" w:type="dxa"/>
            </w:tcMar>
            <w:vAlign w:val="center"/>
          </w:tcPr>
          <w:p>
            <w:pPr>
              <w:spacing w:before="0" w:after="0" w:line="259" w:lineRule="auto"/>
              <w:jc w:val="left"/>
            </w:pPr>
            <w:r>
              <w:rPr>
                <w:rFonts w:ascii="Calibri" w:hAnsi="Calibri"/>
                <w:sz w:val="17"/>
              </w:rPr>
              <w:t>AO-3;无电磁阀</w:t>
            </w:r>
          </w:p>
        </w:tc>
        <w:tc>
          <w:tcPr>
            <w:tcW w:type="dxa" w:w="4310"/>
            <w:tcMar>
              <w:top w:w="80" w:type="dxa"/>
              <w:bottom w:w="80" w:type="dxa"/>
              <w:start w:w="120" w:type="dxa"/>
              <w:end w:w="120" w:type="dxa"/>
            </w:tcMar>
            <w:vAlign w:val="center"/>
          </w:tcPr>
          <w:p>
            <w:pPr>
              <w:spacing w:before="0" w:after="0" w:line="259" w:lineRule="auto"/>
              <w:jc w:val="left"/>
            </w:pPr>
            <w:r>
              <w:rPr>
                <w:rFonts w:ascii="Calibri" w:hAnsi="Calibri"/>
                <w:sz w:val="17"/>
              </w:rPr>
              <w:t>压力AI-5；命名为级间 TI；过热度 AI-6</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项目</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参考设置</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便携式文件</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AirCooled_3xVTS350_R134a_PerCompressorHeatExchangers.modbussim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拓扑结构</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C1-C3：VTS350、R134a，选定型号，电路 1，热交换器 1A</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用水确认</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模拟流量；启用DI-1；无泵启用依赖性；流量AI-7；准备好DI-3；至少 5 个 kg/s；全尺寸 40 kg/s；顿2秒</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厂房设计</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1,050 kW 满载； 30 kg/s 蒸发器流量</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节能器默认设置</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5 kg/s设计质量流量； 45 psig 基础压力； 8 K 过热度设定值； 5秒步进响应</w:t>
            </w:r>
          </w:p>
        </w:tc>
      </w:tr>
    </w:tbl>
    <w:p>
      <w:pPr>
        <w:spacing w:after="20"/>
      </w:pPr>
    </w:p>
    <w:p>
      <w:pPr>
        <w:pStyle w:val="Heading2"/>
      </w:pPr>
      <w:r>
        <w:t>例2 测试重点</w:t>
      </w:r>
    </w:p>
    <w:p>
      <w:pPr>
        <w:numPr>
          <w:ilvl w:val="0"/>
          <w:numId w:val="10"/>
        </w:numPr>
      </w:pPr>
      <w:r>
        <w:rPr>
          <w:rFonts w:ascii="Calibri" w:hAnsi="Calibri"/>
        </w:rPr>
        <w:t>验证C1 DO-1必须保持通电5秒后DI-4校对；中断命令以证明复位。</w:t>
      </w:r>
    </w:p>
    <w:p>
      <w:pPr>
        <w:numPr>
          <w:ilvl w:val="0"/>
          <w:numId w:val="10"/>
        </w:numPr>
      </w:pPr>
      <w:r>
        <w:rPr>
          <w:rFonts w:ascii="Calibri" w:hAnsi="Calibri"/>
        </w:rPr>
        <w:t>分别运行C1、C2和C3。只有所选压缩机的压力、温度、过热度和步进趋势才应响应其质量流量。</w:t>
      </w:r>
    </w:p>
    <w:p>
      <w:pPr>
        <w:numPr>
          <w:ilvl w:val="0"/>
          <w:numId w:val="10"/>
        </w:numPr>
      </w:pPr>
      <w:r>
        <w:rPr>
          <w:rFonts w:ascii="Calibri" w:hAnsi="Calibri"/>
        </w:rPr>
        <w:t>运行所有压缩机并确认输出保持独立，尽管所有压缩机共享电路 1。</w:t>
      </w:r>
    </w:p>
    <w:p>
      <w:pPr>
        <w:numPr>
          <w:ilvl w:val="0"/>
          <w:numId w:val="10"/>
        </w:numPr>
      </w:pPr>
      <w:r>
        <w:rPr>
          <w:rFonts w:ascii="Calibri" w:hAnsi="Calibri"/>
        </w:rPr>
        <w:t>风冷测试逻辑禁用冷凝器水增量标准并禁用制冷剂液位标准，因为工厂没有闪蒸罐液位点。</w:t>
      </w:r>
    </w:p>
    <w:p>
      <w:pPr>
        <w:pStyle w:val="Heading1"/>
      </w:pPr>
      <w:r>
        <w:t>17.参考示例3-两个回路和四个热交换器</w:t>
      </w:r>
    </w:p>
    <w:p>
      <w:pPr>
        <w:keepNext/>
        <w:spacing w:after="160"/>
      </w:pPr>
      <w:r>
        <w:rPr>
          <w:rFonts w:ascii="Calibri" w:hAnsi="Calibri"/>
          <w:i/>
          <w:color w:val="0B2545"/>
          <w:sz w:val="22"/>
        </w:rPr>
        <w:t>风冷设备，配备四台 TTS350 压缩机、R515B、两个回路、每个压缩机四个热交换器、一个泵命令和第二个 I/O 模块上的模拟水确认。</w:t>
      </w:r>
    </w:p>
    <w:p>
      <w:pPr>
        <w:spacing w:before="100" w:after="160" w:line="283" w:lineRule="auto"/>
        <w:ind w:left="173" w:right="115"/>
        <w:pBdr>
          <w:left w:val="single" w:sz="20" w:space="8" w:color="6A3FA0"/>
        </w:pBdr>
        <w:shd w:fill="F5F1FA" w:val="clear"/>
      </w:pPr>
      <w:r>
        <w:rPr>
          <w:rFonts w:ascii="Calibri" w:hAnsi="Calibri"/>
          <w:b/>
          <w:color w:val="6A3FA0"/>
        </w:rPr>
        <w:t xml:space="preserve">电路分裂  </w:t>
      </w:r>
      <w:r>
        <w:rPr>
          <w:rFonts w:ascii="Calibri" w:hAnsi="Calibri"/>
        </w:rPr>
        <w:t>C1/C2进给电路1； C3/C4 馈电电路 2。每台压缩机均保留其自己的热交换器 I/O，而两个电路总和向公共工厂容量总和和水回路供电。</w:t>
      </w:r>
    </w:p>
    <w:p>
      <w:pPr>
        <w:keepNext/>
        <w:spacing w:before="80" w:after="0"/>
        <w:jc w:val="center"/>
      </w:pPr>
      <w:r>
        <w:drawing>
          <wp:inline xmlns:a="http://schemas.openxmlformats.org/drawingml/2006/main" xmlns:pic="http://schemas.openxmlformats.org/drawingml/2006/picture">
            <wp:extent cx="5806440" cy="3556444"/>
            <wp:docPr id="11" name="Picture 11" descr="Dark-theme two-circuit air-cooled reference plant with four TTS350 R515B compressors and four per-compressor Heat Exchanger A instances."/>
            <wp:cNvGraphicFramePr>
              <a:graphicFrameLocks noChangeAspect="1"/>
            </wp:cNvGraphicFramePr>
            <a:graphic>
              <a:graphicData uri="http://schemas.openxmlformats.org/drawingml/2006/picture">
                <pic:pic>
                  <pic:nvPicPr>
                    <pic:cNvPr id="0" name="SystemIntegrationProjectPackageValidation_20260723_Phase7_Example3_TwoCircuitPlant.png"/>
                    <pic:cNvPicPr/>
                  </pic:nvPicPr>
                  <pic:blipFill>
                    <a:blip r:embed="rId23"/>
                    <a:stretch>
                      <a:fillRect/>
                    </a:stretch>
                  </pic:blipFill>
                  <pic:spPr>
                    <a:xfrm>
                      <a:off x="0" y="0"/>
                      <a:ext cx="5806440" cy="3556444"/>
                    </a:xfrm>
                    <a:prstGeom prst="rect"/>
                  </pic:spPr>
                </pic:pic>
              </a:graphicData>
            </a:graphic>
          </wp:inline>
        </w:drawing>
      </w:r>
    </w:p>
    <w:p>
      <w:pPr>
        <w:pStyle w:val="GuideCaption"/>
        <w:keepNext w:val="0"/>
      </w:pPr>
      <w:r>
        <w:t>图 11. 示例 3 验证了两个电路、四个压缩机专用节能器以及两个 I/O 模块之间的逻辑角色。</w:t>
      </w: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1450"/>
        <w:gridCol w:w="2900"/>
        <w:gridCol w:w="5010"/>
      </w:tblGrid>
      <w:tr>
        <w:trPr>
          <w:trHeight w:hRule="atLeast"/>
          <w:tblHeader w:val="true"/>
          <w:cantSplit/>
        </w:trPr>
        <w:tc>
          <w:tcPr>
            <w:tcW w:type="dxa" w:w="145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压缩机</w:t>
            </w:r>
          </w:p>
        </w:tc>
        <w:tc>
          <w:tcPr>
            <w:tcW w:type="dxa" w:w="29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电路/节能器</w:t>
            </w:r>
          </w:p>
        </w:tc>
        <w:tc>
          <w:tcPr>
            <w:tcW w:type="dxa" w:w="501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I/O分配</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C1</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电路 1 / 热交换器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步进器AO-1；压力AI-1；命名为TI；过热度 AI-2</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C2</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电路 1 / 热交换器 1A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步进器AO-2；压力AI-3；命名为TI；过热度 AI-4</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C3</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电路 2 / 热交换器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步进器AO-3；压力AI-5；命名为TI；过热度 AI-6</w:t>
            </w:r>
          </w:p>
        </w:tc>
      </w:tr>
      <w:tr>
        <w:trPr>
          <w:trHeight w:hRule="atLeast"/>
          <w:cantSplit/>
        </w:trPr>
        <w:tc>
          <w:tcPr>
            <w:tcW w:type="dxa" w:w="1450"/>
            <w:tcMar>
              <w:top w:w="80" w:type="dxa"/>
              <w:bottom w:w="80" w:type="dxa"/>
              <w:start w:w="120" w:type="dxa"/>
              <w:end w:w="120" w:type="dxa"/>
            </w:tcMar>
            <w:vAlign w:val="center"/>
          </w:tcPr>
          <w:p>
            <w:pPr>
              <w:spacing w:before="0" w:after="0" w:line="259" w:lineRule="auto"/>
              <w:jc w:val="left"/>
            </w:pPr>
            <w:r>
              <w:rPr>
                <w:rFonts w:ascii="Calibri" w:hAnsi="Calibri"/>
                <w:sz w:val="17"/>
              </w:rPr>
              <w:t>C4</w:t>
            </w:r>
          </w:p>
        </w:tc>
        <w:tc>
          <w:tcPr>
            <w:tcW w:type="dxa" w:w="2900"/>
            <w:tcMar>
              <w:top w:w="80" w:type="dxa"/>
              <w:bottom w:w="80" w:type="dxa"/>
              <w:start w:w="120" w:type="dxa"/>
              <w:end w:w="120" w:type="dxa"/>
            </w:tcMar>
            <w:vAlign w:val="center"/>
          </w:tcPr>
          <w:p>
            <w:pPr>
              <w:spacing w:before="0" w:after="0" w:line="259" w:lineRule="auto"/>
              <w:jc w:val="left"/>
            </w:pPr>
            <w:r>
              <w:rPr>
                <w:rFonts w:ascii="Calibri" w:hAnsi="Calibri"/>
                <w:sz w:val="17"/>
              </w:rPr>
              <w:t>电路 2 / 热交换器 2A</w:t>
            </w:r>
          </w:p>
        </w:tc>
        <w:tc>
          <w:tcPr>
            <w:tcW w:type="dxa" w:w="5010"/>
            <w:tcMar>
              <w:top w:w="80" w:type="dxa"/>
              <w:bottom w:w="80" w:type="dxa"/>
              <w:start w:w="120" w:type="dxa"/>
              <w:end w:w="120" w:type="dxa"/>
            </w:tcMar>
            <w:vAlign w:val="center"/>
          </w:tcPr>
          <w:p>
            <w:pPr>
              <w:spacing w:before="0" w:after="0" w:line="259" w:lineRule="auto"/>
              <w:jc w:val="left"/>
            </w:pPr>
            <w:r>
              <w:rPr>
                <w:rFonts w:ascii="Calibri" w:hAnsi="Calibri"/>
                <w:sz w:val="17"/>
              </w:rPr>
              <w:t>步进器AO-4；压力AI-7； TI-6；过热度 AI-8</w:t>
            </w:r>
          </w:p>
        </w:tc>
      </w:tr>
    </w:tbl>
    <w:p>
      <w:pPr>
        <w:spacing w:after="20"/>
      </w:pPr>
    </w:p>
    <w:tbl>
      <w:tblPr>
        <w:tblStyle w:val="TableGrid"/>
        <w:tblW w:type="dxa" w:w="9360"/>
        <w:jc w:val="left"/>
        <w:tblLayout w:type="fixed"/>
        <w:tblLook w:firstColumn="1" w:firstRow="1" w:lastColumn="0" w:lastRow="0" w:noHBand="0" w:noVBand="1" w:val="04A0"/>
        <w:tblInd w:type="dxa" w:w="120"/>
        <w:tblBorders>
          <w:top w:val="single" w:sz="6" w:color="C9D3DE" w:space="0"/>
          <w:left w:val="single" w:sz="6" w:color="C9D3DE" w:space="0"/>
          <w:bottom w:val="single" w:sz="6" w:color="C9D3DE" w:space="0"/>
          <w:right w:val="single" w:sz="6" w:color="C9D3DE" w:space="0"/>
          <w:insideH w:val="single" w:sz="6" w:color="C9D3DE" w:space="0"/>
          <w:insideV w:val="single" w:sz="6" w:color="C9D3DE" w:space="0"/>
        </w:tblBorders>
      </w:tblPr>
      <w:tblGrid>
        <w:gridCol w:w="2200"/>
        <w:gridCol w:w="7160"/>
      </w:tblGrid>
      <w:tr>
        <w:trPr>
          <w:trHeight w:hRule="atLeast"/>
          <w:tblHeader w:val="true"/>
          <w:cantSplit/>
        </w:trPr>
        <w:tc>
          <w:tcPr>
            <w:tcW w:type="dxa" w:w="220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项目</w:t>
            </w:r>
          </w:p>
        </w:tc>
        <w:tc>
          <w:tcPr>
            <w:tcW w:type="dxa" w:w="7160"/>
            <w:shd w:fill="E8EEF5" w:val="clear"/>
            <w:tcMar>
              <w:top w:w="80" w:type="dxa"/>
              <w:bottom w:w="80" w:type="dxa"/>
              <w:start w:w="120" w:type="dxa"/>
              <w:end w:w="120" w:type="dxa"/>
            </w:tcMar>
            <w:vAlign w:val="center"/>
          </w:tcPr>
          <w:p>
            <w:pPr>
              <w:spacing w:after="0" w:line="252" w:lineRule="auto"/>
              <w:jc w:val="left"/>
            </w:pPr>
            <w:r>
              <w:rPr>
                <w:rFonts w:ascii="Calibri" w:hAnsi="Calibri"/>
                <w:b/>
                <w:color w:val="0B2545"/>
                <w:sz w:val="17"/>
              </w:rPr>
              <w:t>参考设置</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便携式文件</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AirCooled_4xTTS350_R515B_2Circuits_4HeatExchangers.modbussim / .modbustest</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用水确认</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模拟流量；启用模块1 DI-1；泵指令模块1 DO-1；流量模块2 AI-1；准备好模块2 DI-1；吨 5 秒</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水设计</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1,400 kW 满载； 40 kg/s 流量正常； 50 kg/s 模拟满量程； 8 kg/s 最小值</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拓扑检查</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C1/C2 贡献馈电电路 1； C3/C4进给电路2；所有四个都为工厂容量总和和公共水回路供水。</w:t>
            </w:r>
          </w:p>
        </w:tc>
      </w:tr>
      <w:tr>
        <w:trPr>
          <w:trHeight w:hRule="atLeast"/>
          <w:cantSplit/>
        </w:trPr>
        <w:tc>
          <w:tcPr>
            <w:tcW w:type="dxa" w:w="2200"/>
            <w:tcMar>
              <w:top w:w="80" w:type="dxa"/>
              <w:bottom w:w="80" w:type="dxa"/>
              <w:start w:w="120" w:type="dxa"/>
              <w:end w:w="120" w:type="dxa"/>
            </w:tcMar>
            <w:vAlign w:val="center"/>
          </w:tcPr>
          <w:p>
            <w:pPr>
              <w:spacing w:before="0" w:after="0" w:line="259" w:lineRule="auto"/>
              <w:jc w:val="left"/>
            </w:pPr>
            <w:r>
              <w:rPr>
                <w:rFonts w:ascii="Calibri" w:hAnsi="Calibri"/>
                <w:sz w:val="17"/>
              </w:rPr>
              <w:t>所有权检查</w:t>
            </w:r>
          </w:p>
        </w:tc>
        <w:tc>
          <w:tcPr>
            <w:tcW w:type="dxa" w:w="7160"/>
            <w:tcMar>
              <w:top w:w="80" w:type="dxa"/>
              <w:bottom w:w="80" w:type="dxa"/>
              <w:start w:w="120" w:type="dxa"/>
              <w:end w:w="120" w:type="dxa"/>
            </w:tcMar>
            <w:vAlign w:val="center"/>
          </w:tcPr>
          <w:p>
            <w:pPr>
              <w:spacing w:before="0" w:after="0" w:line="259" w:lineRule="auto"/>
              <w:jc w:val="left"/>
            </w:pPr>
            <w:r>
              <w:rPr>
                <w:rFonts w:ascii="Calibri" w:hAnsi="Calibri"/>
                <w:sz w:val="17"/>
              </w:rPr>
              <w:t>第二个 I/O 模块允许水流/就绪角色，而不与模块 1 上的八个节能器 AI 出版物发生冲突。</w:t>
            </w:r>
          </w:p>
        </w:tc>
      </w:tr>
    </w:tbl>
    <w:p>
      <w:pPr>
        <w:spacing w:after="20"/>
      </w:pPr>
    </w:p>
    <w:p>
      <w:pPr>
        <w:pStyle w:val="Heading2"/>
      </w:pPr>
      <w:r>
        <w:t>例3 测试重点</w:t>
      </w:r>
    </w:p>
    <w:p>
      <w:pPr>
        <w:numPr>
          <w:ilvl w:val="0"/>
          <w:numId w:val="10"/>
        </w:numPr>
      </w:pPr>
      <w:r>
        <w:rPr>
          <w:rFonts w:ascii="Calibri" w:hAnsi="Calibri"/>
        </w:rPr>
        <w:t>保持泵命令为假并证明模拟流量/就绪仍为假；然后命令泵并施加足够的模拟流量连续 5 秒。</w:t>
      </w:r>
    </w:p>
    <w:p>
      <w:pPr>
        <w:numPr>
          <w:ilvl w:val="0"/>
          <w:numId w:val="10"/>
        </w:numPr>
      </w:pPr>
      <w:r>
        <w:rPr>
          <w:rFonts w:ascii="Calibri" w:hAnsi="Calibri"/>
        </w:rPr>
        <w:t>独立测试每个电路，然后一起测试。确认没有跨回路质量流量或节能器响应。</w:t>
      </w:r>
    </w:p>
    <w:p>
      <w:pPr>
        <w:numPr>
          <w:ilvl w:val="0"/>
          <w:numId w:val="10"/>
        </w:numPr>
      </w:pPr>
      <w:r>
        <w:rPr>
          <w:rFonts w:ascii="Calibri" w:hAnsi="Calibri"/>
        </w:rPr>
        <w:t>通信前验证两个 I/O 模块的单元 ID，并确认模块 2 AI-1/DI-1 不会被误认为模块 1 通道。</w:t>
      </w:r>
    </w:p>
    <w:p>
      <w:pPr>
        <w:numPr>
          <w:ilvl w:val="0"/>
          <w:numId w:val="10"/>
        </w:numPr>
      </w:pPr>
      <w:r>
        <w:rPr>
          <w:rFonts w:ascii="Calibri" w:hAnsi="Calibri"/>
        </w:rPr>
        <w:t>以设计负载运行所有四台压缩机，并检查设备容量总和、水环路响应、四个步进/过热通道和质量。</w:t>
      </w:r>
    </w:p>
    <w:p>
      <w:pPr>
        <w:pStyle w:val="Heading1"/>
      </w:pPr>
      <w:r>
        <w:t>附录 A. 最小可编辑 TON 逻辑</w:t>
      </w:r>
    </w:p>
    <w:p>
      <w:pPr>
        <w:keepNext/>
        <w:spacing w:after="160"/>
      </w:pPr>
      <w:r>
        <w:rPr>
          <w:rFonts w:ascii="Calibri" w:hAnsi="Calibri"/>
          <w:i/>
          <w:color w:val="0B2545"/>
          <w:sz w:val="22"/>
        </w:rPr>
        <w:t>文本逻辑对于审查和受控自定义模块仍然有用。便携式 .modbussim 仍然是完整的工厂切换。</w:t>
      </w:r>
    </w:p>
    <w:p>
      <w:pPr>
        <w:pStyle w:val="GuideCode"/>
        <w:keepLines w:val="0"/>
        <w:shd w:fill="F7F9FB" w:val="clear"/>
        <w:pBdr>
          <w:left w:val="single" w:sz="12" w:space="8" w:color="1F4D78"/>
        </w:pBdr>
      </w:pPr>
      <w:r>
        <w:rPr>
          <w:rFonts w:ascii="Courier New" w:hAnsi="Courier New"/>
          <w:sz w:val="16"/>
        </w:rPr>
        <w:t>INPUT "point-solenoid-command" "DO-1 - Interstage Solenoid"</w:t>
        <w:br/>
      </w:r>
      <w:r>
        <w:rPr>
          <w:rFonts w:ascii="Courier New" w:hAnsi="Courier New"/>
          <w:sz w:val="16"/>
        </w:rPr>
        <w:t xml:space="preserve">  POINT "water-loop-io/points/DigitalOutput1"</w:t>
        <w:br/>
      </w:r>
      <w:r>
        <w:rPr>
          <w:rFonts w:ascii="Courier New" w:hAnsi="Courier New"/>
          <w:sz w:val="16"/>
        </w:rPr>
        <w:t>END</w:t>
        <w:br/>
      </w:r>
      <w:r>
        <w:rPr>
          <w:rFonts w:ascii="Courier New" w:hAnsi="Courier New"/>
          <w:sz w:val="16"/>
        </w:rPr>
        <w:br/>
      </w:r>
      <w:r>
        <w:rPr>
          <w:rFonts w:ascii="Courier New" w:hAnsi="Courier New"/>
          <w:sz w:val="16"/>
        </w:rPr>
        <w:t>CONSTANT "constant-proof-delay" "Valve Open Proof Delay"</w:t>
        <w:br/>
      </w:r>
      <w:r>
        <w:rPr>
          <w:rFonts w:ascii="Courier New" w:hAnsi="Courier New"/>
          <w:sz w:val="16"/>
        </w:rPr>
        <w:t xml:space="preserve">  VALUE 5</w:t>
        <w:br/>
      </w:r>
      <w:r>
        <w:rPr>
          <w:rFonts w:ascii="Courier New" w:hAnsi="Courier New"/>
          <w:sz w:val="16"/>
        </w:rPr>
        <w:t xml:space="preserve">  UNIT "s"</w:t>
        <w:br/>
      </w:r>
      <w:r>
        <w:rPr>
          <w:rFonts w:ascii="Courier New" w:hAnsi="Courier New"/>
          <w:sz w:val="16"/>
        </w:rPr>
        <w:t>END</w:t>
        <w:br/>
      </w:r>
      <w:r>
        <w:rPr>
          <w:rFonts w:ascii="Courier New" w:hAnsi="Courier New"/>
          <w:sz w:val="16"/>
        </w:rPr>
        <w:br/>
      </w:r>
      <w:r>
        <w:rPr>
          <w:rFonts w:ascii="Courier New" w:hAnsi="Courier New"/>
          <w:sz w:val="16"/>
        </w:rPr>
        <w:t>BLOCK "block-valve-proof-delay" "TON - Valve Open Proof"</w:t>
        <w:br/>
      </w:r>
      <w:r>
        <w:rPr>
          <w:rFonts w:ascii="Courier New" w:hAnsi="Courier New"/>
          <w:sz w:val="16"/>
        </w:rPr>
        <w:t xml:space="preserve">  TYPE "OnDelay"</w:t>
        <w:br/>
      </w:r>
      <w:r>
        <w:rPr>
          <w:rFonts w:ascii="Courier New" w:hAnsi="Courier New"/>
          <w:sz w:val="16"/>
        </w:rPr>
        <w:t xml:space="preserve">  STATE "ResetOnActivation"</w:t>
        <w:br/>
      </w:r>
      <w:r>
        <w:rPr>
          <w:rFonts w:ascii="Courier New" w:hAnsi="Courier New"/>
          <w:sz w:val="16"/>
        </w:rPr>
        <w:t xml:space="preserve">  INPUT "Input" FROM "point-solenoid-command" "Value"</w:t>
        <w:br/>
      </w:r>
      <w:r>
        <w:rPr>
          <w:rFonts w:ascii="Courier New" w:hAnsi="Courier New"/>
          <w:sz w:val="16"/>
        </w:rPr>
        <w:t xml:space="preserve">  INPUT "Delay" FROM "constant-proof-delay" "Value"</w:t>
        <w:br/>
      </w:r>
      <w:r>
        <w:rPr>
          <w:rFonts w:ascii="Courier New" w:hAnsi="Courier New"/>
          <w:sz w:val="16"/>
        </w:rPr>
        <w:t>END</w:t>
        <w:br/>
      </w:r>
      <w:r>
        <w:rPr>
          <w:rFonts w:ascii="Courier New" w:hAnsi="Courier New"/>
          <w:sz w:val="16"/>
        </w:rPr>
        <w:br/>
      </w:r>
      <w:r>
        <w:rPr>
          <w:rFonts w:ascii="Courier New" w:hAnsi="Courier New"/>
          <w:sz w:val="16"/>
        </w:rPr>
        <w:t>OUTPUT "output-valve-proof" "DI-4 - Valve Open Proof"</w:t>
        <w:br/>
      </w:r>
      <w:r>
        <w:rPr>
          <w:rFonts w:ascii="Courier New" w:hAnsi="Courier New"/>
          <w:sz w:val="16"/>
        </w:rPr>
        <w:t xml:space="preserve">  POINT "water-loop-io/points/DigitalInput4"</w:t>
        <w:br/>
      </w:r>
      <w:r>
        <w:rPr>
          <w:rFonts w:ascii="Courier New" w:hAnsi="Courier New"/>
          <w:sz w:val="16"/>
        </w:rPr>
        <w:t xml:space="preserve">  SOURCE FROM "block-valve-proof-delay" "Value"</w:t>
        <w:br/>
      </w:r>
      <w:r>
        <w:rPr>
          <w:rFonts w:ascii="Courier New" w:hAnsi="Courier New"/>
          <w:sz w:val="16"/>
        </w:rPr>
        <w:t>END</w:t>
      </w:r>
    </w:p>
    <w:p>
      <w:pPr>
        <w:numPr>
          <w:ilvl w:val="0"/>
          <w:numId w:val="10"/>
        </w:numPr>
      </w:pPr>
      <w:r>
        <w:rPr>
          <w:rFonts w:ascii="Calibri" w:hAnsi="Calibri"/>
        </w:rPr>
        <w:t>使用稳定的节点 ID 和显式点 ID。 POSITION 仅更改布局。</w:t>
      </w:r>
    </w:p>
    <w:p>
      <w:pPr>
        <w:numPr>
          <w:ilvl w:val="0"/>
          <w:numId w:val="10"/>
        </w:numPr>
      </w:pPr>
      <w:r>
        <w:rPr>
          <w:rFonts w:ascii="Calibri" w:hAnsi="Calibri"/>
        </w:rPr>
        <w:t>计时器存储经过的确定性模拟时间；它会在激活时以及输入变为 false 时重置。</w:t>
      </w:r>
    </w:p>
    <w:p>
      <w:pPr>
        <w:numPr>
          <w:ilvl w:val="0"/>
          <w:numId w:val="10"/>
        </w:numPr>
      </w:pPr>
      <w:r>
        <w:rPr>
          <w:rFonts w:ascii="Calibri" w:hAnsi="Calibri"/>
        </w:rPr>
        <w:t>导入和编译可验证点访问、单元、端口、每个输入一个驱动程序、周期和输出所有权。</w:t>
      </w:r>
    </w:p>
    <w:p>
      <w:pPr>
        <w:numPr>
          <w:ilvl w:val="0"/>
          <w:numId w:val="10"/>
        </w:numPr>
      </w:pPr>
      <w:r>
        <w:rPr>
          <w:rFonts w:ascii="Calibri" w:hAnsi="Calibri"/>
        </w:rPr>
        <w:t>自定义编辑后，从向导管理中分离模块，否则稍后应用拓扑可能会重新生成托管副本。</w:t>
      </w:r>
    </w:p>
    <w:p>
      <w:pPr>
        <w:pStyle w:val="Heading1"/>
      </w:pPr>
      <w:r>
        <w:t>附录 B. 最终验收清单</w:t>
      </w:r>
    </w:p>
    <w:p>
      <w:pPr>
        <w:keepNext/>
        <w:spacing w:after="160"/>
      </w:pPr>
      <w:r>
        <w:rPr>
          <w:rFonts w:ascii="Calibri" w:hAnsi="Calibri"/>
          <w:i/>
          <w:color w:val="0B2545"/>
          <w:sz w:val="22"/>
        </w:rPr>
        <w:t>在将客户集成视为准备进行更广泛的测试之前，请完成每一项。</w:t>
      </w:r>
    </w:p>
    <w:p>
      <w:pPr>
        <w:numPr>
          <w:ilvl w:val="0"/>
          <w:numId w:val="10"/>
        </w:numPr>
      </w:pPr>
      <w:r>
        <w:rPr>
          <w:rFonts w:ascii="Calibri" w:hAnsi="Calibri"/>
        </w:rPr>
        <w:t>[ ] 为每台压缩机验证实时系统计数/型号/制冷剂/行为源。</w:t>
      </w:r>
    </w:p>
    <w:p>
      <w:pPr>
        <w:numPr>
          <w:ilvl w:val="0"/>
          <w:numId w:val="10"/>
        </w:numPr>
      </w:pPr>
      <w:r>
        <w:rPr>
          <w:rFonts w:ascii="Calibri" w:hAnsi="Calibri"/>
        </w:rPr>
        <w:t>[ ] 每个连接和单元 ID 都是唯一的；记录外部通讯启动顺序。</w:t>
      </w:r>
    </w:p>
    <w:p>
      <w:pPr>
        <w:numPr>
          <w:ilvl w:val="0"/>
          <w:numId w:val="10"/>
        </w:numPr>
      </w:pPr>
      <w:r>
        <w:rPr>
          <w:rFonts w:ascii="Calibri" w:hAnsi="Calibri"/>
        </w:rPr>
        <w:t>[ ] 每台压缩机均分配给一个回路并且仅分配一个安装的节能器插槽。</w:t>
      </w:r>
    </w:p>
    <w:p>
      <w:pPr>
        <w:numPr>
          <w:ilvl w:val="0"/>
          <w:numId w:val="10"/>
        </w:numPr>
      </w:pPr>
      <w:r>
        <w:rPr>
          <w:rFonts w:ascii="Calibri" w:hAnsi="Calibri"/>
        </w:rPr>
        <w:t>[ ] 每台压缩机都配置了具有独特物理 I/O 的热交换器节能器。</w:t>
      </w:r>
    </w:p>
    <w:p>
      <w:pPr>
        <w:numPr>
          <w:ilvl w:val="0"/>
          <w:numId w:val="10"/>
        </w:numPr>
      </w:pPr>
      <w:r>
        <w:rPr>
          <w:rFonts w:ascii="Calibri" w:hAnsi="Calibri"/>
        </w:rPr>
        <w:t>[ ] 水质确认模式与真实植物相符；可选的泵启用仅在需要时使用。</w:t>
      </w:r>
    </w:p>
    <w:p>
      <w:pPr>
        <w:numPr>
          <w:ilvl w:val="0"/>
          <w:numId w:val="10"/>
        </w:numPr>
      </w:pPr>
      <w:r>
        <w:rPr>
          <w:rFonts w:ascii="Calibri" w:hAnsi="Calibri"/>
        </w:rPr>
        <w:t>[ ] 逻辑/物理 I/O 方向、通道、范围、单位、正常状态和所有者已审核。</w:t>
      </w:r>
    </w:p>
    <w:p>
      <w:pPr>
        <w:numPr>
          <w:ilvl w:val="0"/>
          <w:numId w:val="10"/>
        </w:numPr>
      </w:pPr>
      <w:r>
        <w:rPr>
          <w:rFonts w:ascii="Calibri" w:hAnsi="Calibri"/>
        </w:rPr>
        <w:t>[ ] 应用于草稿的拓扑；在受保护的编辑之前分离自定义模块。</w:t>
      </w:r>
    </w:p>
    <w:p>
      <w:pPr>
        <w:numPr>
          <w:ilvl w:val="0"/>
          <w:numId w:val="10"/>
        </w:numPr>
      </w:pPr>
      <w:r>
        <w:rPr>
          <w:rFonts w:ascii="Calibri" w:hAnsi="Calibri"/>
        </w:rPr>
        <w:t>[ ] 编译通行证；审查修订、指纹、签名和输出声明。</w:t>
      </w:r>
    </w:p>
    <w:p>
      <w:pPr>
        <w:numPr>
          <w:ilvl w:val="0"/>
          <w:numId w:val="10"/>
        </w:numPr>
      </w:pPr>
      <w:r>
        <w:rPr>
          <w:rFonts w:ascii="Calibri" w:hAnsi="Calibri"/>
        </w:rPr>
        <w:t>[ ] 查看/激活通行证；先前的运行时保留在故意拒绝草稿测试中得到证实。</w:t>
      </w:r>
    </w:p>
    <w:p>
      <w:pPr>
        <w:numPr>
          <w:ilvl w:val="0"/>
          <w:numId w:val="10"/>
        </w:numPr>
      </w:pPr>
      <w:r>
        <w:rPr>
          <w:rFonts w:ascii="Calibri" w:hAnsi="Calibri"/>
        </w:rPr>
        <w:t>[ ] 通讯在线；临界点质量好；手动通道证明完成。</w:t>
      </w:r>
    </w:p>
    <w:p>
      <w:pPr>
        <w:numPr>
          <w:ilvl w:val="0"/>
          <w:numId w:val="10"/>
        </w:numPr>
      </w:pPr>
      <w:r>
        <w:rPr>
          <w:rFonts w:ascii="Calibri" w:hAnsi="Calibri"/>
        </w:rPr>
        <w:t>[ ] 匹配 .modbustest 预检通行证；启动、加载、卸载、故障/防丢失和停机检查已完成。</w:t>
      </w:r>
    </w:p>
    <w:p>
      <w:pPr>
        <w:numPr>
          <w:ilvl w:val="0"/>
          <w:numId w:val="10"/>
        </w:numPr>
      </w:pPr>
      <w:r>
        <w:rPr>
          <w:rFonts w:ascii="Calibri" w:hAnsi="Calibri"/>
        </w:rPr>
        <w:t>[ ] 控制质量 监控趋势和已审查的指标；监控范围记录为证据设置。</w:t>
      </w:r>
    </w:p>
    <w:p>
      <w:pPr>
        <w:numPr>
          <w:ilvl w:val="0"/>
          <w:numId w:val="10"/>
        </w:numPr>
      </w:pPr>
      <w:r>
        <w:rPr>
          <w:rFonts w:ascii="Calibri" w:hAnsi="Calibri"/>
        </w:rPr>
        <w:t>[ ] 结果/证据完整且可重现；记录偏差。</w:t>
      </w:r>
    </w:p>
    <w:p>
      <w:pPr>
        <w:numPr>
          <w:ilvl w:val="0"/>
          <w:numId w:val="10"/>
        </w:numPr>
      </w:pPr>
      <w:r>
        <w:rPr>
          <w:rFonts w:ascii="Calibri" w:hAnsi="Calibri"/>
        </w:rPr>
        <w:t>[ ] 版本 .modbussim、.bak、.modbustest、报告、I/O 计划、版本、签名和屏幕截图已存档。</w:t>
      </w:r>
    </w:p>
    <w:p>
      <w:pPr>
        <w:pStyle w:val="Heading1"/>
      </w:pPr>
      <w:r>
        <w:t>附录 C. 实施和证据参考</w:t>
      </w:r>
    </w:p>
    <w:p>
      <w:pPr>
        <w:keepNext/>
        <w:spacing w:after="160"/>
      </w:pPr>
      <w:r>
        <w:rPr>
          <w:rFonts w:ascii="Calibri" w:hAnsi="Calibri"/>
          <w:i/>
          <w:color w:val="0B2545"/>
          <w:sz w:val="22"/>
        </w:rPr>
        <w:t>以下签入的来源和生成的证据支持本指南。</w:t>
      </w:r>
    </w:p>
    <w:p>
      <w:pPr>
        <w:numPr>
          <w:ilvl w:val="0"/>
          <w:numId w:val="10"/>
        </w:numPr>
      </w:pPr>
      <w:r>
        <w:rPr>
          <w:rFonts w:ascii="Calibri" w:hAnsi="Calibri"/>
        </w:rPr>
        <w:t>文档/SYSTEM_INTEGRATION_REFACTORING_PLAN.md</w:t>
      </w:r>
    </w:p>
    <w:p>
      <w:pPr>
        <w:numPr>
          <w:ilvl w:val="0"/>
          <w:numId w:val="10"/>
        </w:numPr>
      </w:pPr>
      <w:r>
        <w:rPr>
          <w:rFonts w:ascii="Calibri" w:hAnsi="Calibri"/>
        </w:rPr>
        <w:t>文档/SYSTEM_INTEGRATION_OPERATOR_GUIDE.md</w:t>
      </w:r>
    </w:p>
    <w:p>
      <w:pPr>
        <w:numPr>
          <w:ilvl w:val="0"/>
          <w:numId w:val="10"/>
        </w:numPr>
      </w:pPr>
      <w:r>
        <w:rPr>
          <w:rFonts w:ascii="Calibri" w:hAnsi="Calibri"/>
        </w:rPr>
        <w:t>文档/CONTROL_QUALITY_MONITOR.md</w:t>
      </w:r>
    </w:p>
    <w:p>
      <w:pPr>
        <w:numPr>
          <w:ilvl w:val="0"/>
          <w:numId w:val="10"/>
        </w:numPr>
      </w:pPr>
      <w:r>
        <w:rPr>
          <w:rFonts w:ascii="Calibri" w:hAnsi="Calibri"/>
        </w:rPr>
        <w:t>文档/PLANT_TEST_PLANS_AND_EVIDENCE.md</w:t>
      </w:r>
    </w:p>
    <w:p>
      <w:pPr>
        <w:numPr>
          <w:ilvl w:val="0"/>
          <w:numId w:val="10"/>
        </w:numPr>
      </w:pPr>
      <w:r>
        <w:rPr>
          <w:rFonts w:ascii="Calibri" w:hAnsi="Calibri"/>
        </w:rPr>
        <w:t>配置/系统集成/示例/</w:t>
      </w:r>
    </w:p>
    <w:p>
      <w:pPr>
        <w:numPr>
          <w:ilvl w:val="0"/>
          <w:numId w:val="10"/>
        </w:numPr>
      </w:pPr>
      <w:r>
        <w:rPr>
          <w:rFonts w:ascii="Calibri" w:hAnsi="Calibri"/>
        </w:rPr>
        <w:t>服务/SystemIntegrationProjectPackageService.cs</w:t>
      </w:r>
    </w:p>
    <w:p>
      <w:pPr>
        <w:numPr>
          <w:ilvl w:val="0"/>
          <w:numId w:val="10"/>
        </w:numPr>
      </w:pPr>
      <w:r>
        <w:rPr>
          <w:rFonts w:ascii="Calibri" w:hAnsi="Calibri"/>
        </w:rPr>
        <w:t>服务/PlantIntegrationTopologyService.cs</w:t>
      </w:r>
    </w:p>
    <w:p>
      <w:pPr>
        <w:numPr>
          <w:ilvl w:val="0"/>
          <w:numId w:val="10"/>
        </w:numPr>
      </w:pPr>
      <w:r>
        <w:rPr>
          <w:rFonts w:ascii="Calibri" w:hAnsi="Calibri"/>
        </w:rPr>
        <w:t>服务/PlantIntegrationGraphComposer.cs</w:t>
      </w:r>
    </w:p>
    <w:p>
      <w:pPr>
        <w:numPr>
          <w:ilvl w:val="0"/>
          <w:numId w:val="10"/>
        </w:numPr>
      </w:pPr>
      <w:r>
        <w:rPr>
          <w:rFonts w:ascii="Calibri" w:hAnsi="Calibri"/>
        </w:rPr>
        <w:t>服务/PlantControlQualityMonitorService.cs</w:t>
      </w:r>
    </w:p>
    <w:p>
      <w:pPr>
        <w:numPr>
          <w:ilvl w:val="0"/>
          <w:numId w:val="10"/>
        </w:numPr>
      </w:pPr>
      <w:r>
        <w:rPr>
          <w:rFonts w:ascii="Calibri" w:hAnsi="Calibri"/>
        </w:rPr>
        <w:t>服务/系统集成Phase8ValidationCliService.cs</w:t>
      </w:r>
    </w:p>
    <w:p>
      <w:pPr>
        <w:numPr>
          <w:ilvl w:val="0"/>
          <w:numId w:val="10"/>
        </w:numPr>
      </w:pPr>
      <w:r>
        <w:rPr>
          <w:rFonts w:ascii="Calibri" w:hAnsi="Calibri"/>
        </w:rPr>
        <w:t>报告/系统集成/阶段 8/SystemIntegrationProjectPackageValidation_20260723_Phase7.md</w:t>
      </w:r>
    </w:p>
    <w:p>
      <w:pPr>
        <w:spacing w:before="100" w:after="160" w:line="283" w:lineRule="auto"/>
        <w:ind w:left="173" w:right="115"/>
        <w:pBdr>
          <w:left w:val="single" w:sz="20" w:space="8" w:color="2E7D32"/>
        </w:pBdr>
        <w:shd w:fill="F1F8F3" w:val="clear"/>
      </w:pPr>
      <w:r>
        <w:rPr>
          <w:rFonts w:ascii="Calibri" w:hAnsi="Calibri"/>
          <w:b/>
          <w:color w:val="2E7D32"/>
        </w:rPr>
        <w:t xml:space="preserve">验证状态  </w:t>
      </w:r>
      <w:r>
        <w:rPr>
          <w:rFonts w:ascii="Calibri" w:hAnsi="Calibri"/>
        </w:rPr>
        <w:t>Phase 7 回归验证便携式往返、一对八拓扑、三个相同的压缩机行为解析、模块生成、水确认、警报输出、每个压缩机节能器、多个 I/O 模块、协议适配器、不可变运行时等效性、指纹和修订拒绝、活动计划保留、原子保存/备份、遗留迁移、控制质量监视器、深色主题渲染以及所有三个参考项目/测试计划。</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F6B78"/>
        <w:sz w:val="18"/>
      </w:rPr>
      <w:t xml:space="preserve">Page </w:t>
    </w:r>
    <w:r>
      <w:rPr>
        <w:rFonts w:ascii="Calibri" w:hAnsi="Calibri"/>
        <w:color w:val="5F6B78"/>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集成测试指南</w:t>
    </w:r>
    <w:r>
      <w:rPr>
        <w:rFonts w:ascii="Calibri" w:hAnsi="Calibri"/>
        <w:color w:val="5F6B78"/>
        <w:sz w:val="17"/>
      </w:rPr>
      <w:tab/>
      <w:t>工程参考</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F6B78"/>
        <w:sz w:val="17"/>
      </w:rPr>
      <w:t>MODBUSSIM |  集成测试指南</w:t>
    </w:r>
    <w:r>
      <w:rPr>
        <w:rFonts w:ascii="Calibri" w:hAnsi="Calibri"/>
        <w:color w:val="5F6B78"/>
        <w:sz w:val="17"/>
      </w:rPr>
      <w:tab/>
      <w:t>工程参考</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lvlJc w:val="left"/>
      <w:pPr>
        <w:tabs>
          <w:tab w:val="num" w:pos="540"/>
        </w:tabs>
        <w:ind w:left="540" w:hanging="270"/>
        <w:spacing w:after="80" w:line="300" w:lineRule="auto"/>
      </w:pPr>
    </w:lvl>
  </w:abstract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jc w:val="left"/>
    </w:pPr>
    <w:rPr>
      <w:rFonts w:ascii="Calibri" w:hAnsi="Calibri"/>
      <w:color w:val="1F23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Caption">
    <w:name w:val="Guide Caption"/>
    <w:pPr>
      <w:keepNext w:val="0"/>
      <w:spacing w:before="60" w:after="160"/>
      <w:jc w:val="center"/>
    </w:pPr>
    <w:rPr>
      <w:rFonts w:ascii="Calibri" w:hAnsi="Calibri"/>
      <w:i/>
      <w:color w:val="5F6B78"/>
      <w:sz w:val="18"/>
    </w:rPr>
  </w:style>
  <w:style w:type="paragraph" w:customStyle="1" w:styleId="GuideCode">
    <w:name w:val="Guide Code"/>
    <w:pPr>
      <w:widowControl w:val="0"/>
      <w:spacing w:before="80" w:after="140" w:line="240" w:lineRule="auto"/>
      <w:ind w:left="317" w:right="230"/>
    </w:pPr>
    <w:rPr>
      <w:rFonts w:ascii="Courier New" w:hAnsi="Courier New"/>
      <w:color w:val="1F232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ModbusLogic 系统集成与测试指南</dc:title>
  <dc:subject>集成系统的架构、配置、激活、迁移和验证</dc:subject>
  <dc:creator>ModbusSim Engineering</dc:creator>
  <cp:keywords/>
  <dc:description>Revised for Phase 7 activation safety and per-compressor heat-exchanger economizers.</dc:description>
  <cp:lastModifiedBy/>
  <cp:revision>1</cp:revision>
  <dcterms:created xsi:type="dcterms:W3CDTF">2013-12-23T23:15:00Z</dcterms:created>
  <dcterms:modified xsi:type="dcterms:W3CDTF">2013-12-23T23:15:00Z</dcterms:modified>
  <cp:category/>
</cp:coreProperties>
</file>